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755B1" w14:textId="77777777" w:rsidR="0044257C" w:rsidRDefault="0044257C" w:rsidP="0044257C">
      <w:pPr>
        <w:rPr>
          <w:rFonts w:cs="Arial"/>
          <w:b/>
        </w:rPr>
      </w:pPr>
      <w:bookmarkStart w:id="0" w:name="_Toc56449314"/>
      <w:bookmarkStart w:id="1" w:name="_Toc70505033"/>
    </w:p>
    <w:p w14:paraId="3E8F59F1" w14:textId="77777777" w:rsidR="0044257C" w:rsidRDefault="0044257C" w:rsidP="0044257C">
      <w:pPr>
        <w:rPr>
          <w:rFonts w:cs="Arial"/>
          <w:b/>
        </w:rPr>
      </w:pPr>
    </w:p>
    <w:p w14:paraId="1C7A48F2" w14:textId="0D93A276" w:rsidR="0044257C" w:rsidRPr="0001419C" w:rsidRDefault="685101D7" w:rsidP="00FA4C7F">
      <w:pPr>
        <w:jc w:val="center"/>
      </w:pPr>
      <w:r>
        <w:rPr>
          <w:noProof/>
        </w:rPr>
        <w:drawing>
          <wp:inline distT="0" distB="0" distL="0" distR="0" wp14:anchorId="0AE0D1A9" wp14:editId="224946F6">
            <wp:extent cx="4888867" cy="1560195"/>
            <wp:effectExtent l="0" t="0" r="0" b="0"/>
            <wp:docPr id="3" name="Picture 3" descr="Montana Department of Comme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4888867" cy="1560195"/>
                    </a:xfrm>
                    <a:prstGeom prst="rect">
                      <a:avLst/>
                    </a:prstGeom>
                  </pic:spPr>
                </pic:pic>
              </a:graphicData>
            </a:graphic>
          </wp:inline>
        </w:drawing>
      </w:r>
    </w:p>
    <w:p w14:paraId="1A4D2FF4" w14:textId="77777777" w:rsidR="0044257C" w:rsidRPr="0001419C" w:rsidRDefault="0044257C" w:rsidP="0044257C">
      <w:pPr>
        <w:rPr>
          <w:rFonts w:cs="Arial"/>
          <w:b/>
          <w:color w:val="6E9699"/>
        </w:rPr>
      </w:pPr>
    </w:p>
    <w:p w14:paraId="1E35546C" w14:textId="77777777" w:rsidR="0044257C" w:rsidRPr="0001419C" w:rsidRDefault="0044257C" w:rsidP="0044257C">
      <w:pPr>
        <w:rPr>
          <w:rFonts w:cs="Arial"/>
          <w:b/>
          <w:color w:val="6E9699"/>
        </w:rPr>
      </w:pPr>
    </w:p>
    <w:p w14:paraId="7EF47039" w14:textId="77777777" w:rsidR="0044257C" w:rsidRPr="0001419C" w:rsidRDefault="0044257C" w:rsidP="0044257C">
      <w:pPr>
        <w:rPr>
          <w:rFonts w:cs="Arial"/>
          <w:b/>
          <w:color w:val="6E9699"/>
        </w:rPr>
      </w:pPr>
    </w:p>
    <w:p w14:paraId="287EE51F" w14:textId="77777777" w:rsidR="0044257C" w:rsidRPr="0001419C" w:rsidRDefault="0044257C" w:rsidP="0044257C">
      <w:pPr>
        <w:tabs>
          <w:tab w:val="center" w:pos="4680"/>
          <w:tab w:val="left" w:pos="5040"/>
          <w:tab w:val="left" w:pos="5760"/>
          <w:tab w:val="right" w:pos="9360"/>
        </w:tabs>
        <w:rPr>
          <w:color w:val="262626"/>
        </w:rPr>
      </w:pPr>
    </w:p>
    <w:p w14:paraId="2728AA7C" w14:textId="77777777" w:rsidR="0044257C" w:rsidRPr="009D7D23" w:rsidRDefault="0044257C" w:rsidP="0044257C">
      <w:pPr>
        <w:jc w:val="center"/>
        <w:rPr>
          <w:rFonts w:cs="Arial"/>
          <w:b/>
          <w:sz w:val="44"/>
          <w:szCs w:val="44"/>
        </w:rPr>
      </w:pPr>
      <w:r w:rsidRPr="009D7D23">
        <w:rPr>
          <w:rFonts w:cs="Arial"/>
          <w:b/>
          <w:sz w:val="44"/>
          <w:szCs w:val="44"/>
        </w:rPr>
        <w:t>State of Montana</w:t>
      </w:r>
    </w:p>
    <w:p w14:paraId="5E2110D1" w14:textId="77777777" w:rsidR="0044257C" w:rsidRDefault="0044257C" w:rsidP="0044257C">
      <w:pPr>
        <w:jc w:val="center"/>
        <w:rPr>
          <w:rFonts w:cs="Arial"/>
          <w:b/>
          <w:sz w:val="28"/>
          <w:szCs w:val="28"/>
        </w:rPr>
      </w:pPr>
    </w:p>
    <w:p w14:paraId="358EFD7D" w14:textId="77777777" w:rsidR="0044257C" w:rsidRDefault="0044257C" w:rsidP="0044257C">
      <w:pPr>
        <w:jc w:val="center"/>
        <w:rPr>
          <w:rFonts w:cs="Arial"/>
          <w:b/>
          <w:sz w:val="28"/>
          <w:szCs w:val="28"/>
        </w:rPr>
      </w:pPr>
    </w:p>
    <w:p w14:paraId="499F7CE6" w14:textId="26198F76" w:rsidR="0044257C" w:rsidRPr="009D7D23" w:rsidRDefault="00C91E76" w:rsidP="0044257C">
      <w:pPr>
        <w:jc w:val="center"/>
        <w:rPr>
          <w:rFonts w:cs="Arial"/>
          <w:b/>
          <w:sz w:val="36"/>
          <w:szCs w:val="36"/>
        </w:rPr>
      </w:pPr>
      <w:r>
        <w:rPr>
          <w:rFonts w:cs="Arial"/>
          <w:b/>
          <w:sz w:val="36"/>
          <w:szCs w:val="36"/>
        </w:rPr>
        <w:t>Annual Action Plan</w:t>
      </w:r>
    </w:p>
    <w:p w14:paraId="06877141" w14:textId="77777777" w:rsidR="0044257C" w:rsidRPr="00511E95" w:rsidRDefault="0044257C" w:rsidP="0044257C">
      <w:pPr>
        <w:jc w:val="center"/>
        <w:rPr>
          <w:rFonts w:cs="Arial"/>
          <w:b/>
          <w:sz w:val="28"/>
          <w:szCs w:val="28"/>
        </w:rPr>
      </w:pPr>
    </w:p>
    <w:p w14:paraId="15107B18" w14:textId="7DD1E686" w:rsidR="0044257C" w:rsidRPr="009D7D23" w:rsidRDefault="0044257C" w:rsidP="0044257C">
      <w:pPr>
        <w:jc w:val="center"/>
        <w:rPr>
          <w:rFonts w:cs="Arial"/>
          <w:sz w:val="28"/>
          <w:szCs w:val="28"/>
        </w:rPr>
      </w:pPr>
      <w:r w:rsidRPr="009D7D23">
        <w:rPr>
          <w:rFonts w:cs="Arial"/>
          <w:sz w:val="28"/>
          <w:szCs w:val="28"/>
        </w:rPr>
        <w:t xml:space="preserve">April 1, </w:t>
      </w:r>
      <w:proofErr w:type="gramStart"/>
      <w:r w:rsidRPr="009D7D23">
        <w:rPr>
          <w:rFonts w:cs="Arial"/>
          <w:sz w:val="28"/>
          <w:szCs w:val="28"/>
        </w:rPr>
        <w:t>202</w:t>
      </w:r>
      <w:r w:rsidR="006216A8">
        <w:rPr>
          <w:rFonts w:cs="Arial"/>
          <w:sz w:val="28"/>
          <w:szCs w:val="28"/>
        </w:rPr>
        <w:t>4</w:t>
      </w:r>
      <w:proofErr w:type="gramEnd"/>
      <w:r w:rsidRPr="009D7D23">
        <w:rPr>
          <w:rFonts w:cs="Arial"/>
          <w:sz w:val="28"/>
          <w:szCs w:val="28"/>
        </w:rPr>
        <w:t xml:space="preserve"> through March 31, 202</w:t>
      </w:r>
      <w:r w:rsidR="006216A8">
        <w:rPr>
          <w:rFonts w:cs="Arial"/>
          <w:sz w:val="28"/>
          <w:szCs w:val="28"/>
        </w:rPr>
        <w:t>5</w:t>
      </w:r>
    </w:p>
    <w:p w14:paraId="344F0F34" w14:textId="77777777" w:rsidR="0044257C" w:rsidRDefault="0044257C" w:rsidP="0044257C">
      <w:pPr>
        <w:jc w:val="center"/>
        <w:rPr>
          <w:rFonts w:cs="Arial"/>
          <w:b/>
          <w:sz w:val="28"/>
          <w:szCs w:val="28"/>
        </w:rPr>
      </w:pPr>
    </w:p>
    <w:p w14:paraId="5806FC4E" w14:textId="77777777" w:rsidR="0044257C" w:rsidRDefault="0044257C" w:rsidP="0044257C">
      <w:pPr>
        <w:jc w:val="center"/>
        <w:rPr>
          <w:rFonts w:cs="Arial"/>
          <w:b/>
          <w:sz w:val="28"/>
          <w:szCs w:val="28"/>
        </w:rPr>
      </w:pPr>
    </w:p>
    <w:p w14:paraId="1F0A21F1" w14:textId="7885A607" w:rsidR="0044257C" w:rsidRPr="009D7D23" w:rsidRDefault="006216A8" w:rsidP="0044257C">
      <w:pPr>
        <w:jc w:val="center"/>
        <w:rPr>
          <w:rFonts w:cs="Arial"/>
          <w:sz w:val="28"/>
          <w:szCs w:val="28"/>
        </w:rPr>
      </w:pPr>
      <w:r>
        <w:rPr>
          <w:rFonts w:cs="Arial"/>
          <w:sz w:val="28"/>
          <w:szCs w:val="28"/>
        </w:rPr>
        <w:t>DRAFT</w:t>
      </w:r>
    </w:p>
    <w:p w14:paraId="34E1200A" w14:textId="4F2D46CC" w:rsidR="0044257C" w:rsidRDefault="1EABF0F6" w:rsidP="0044257C">
      <w:pPr>
        <w:jc w:val="center"/>
        <w:rPr>
          <w:rFonts w:cs="Arial"/>
          <w:b/>
          <w:sz w:val="28"/>
          <w:szCs w:val="28"/>
        </w:rPr>
      </w:pPr>
      <w:r w:rsidRPr="64A8743D">
        <w:rPr>
          <w:rFonts w:cs="Arial"/>
          <w:sz w:val="28"/>
          <w:szCs w:val="28"/>
        </w:rPr>
        <w:t>Published May 14, 2024</w:t>
      </w:r>
    </w:p>
    <w:p w14:paraId="3B970250" w14:textId="77777777" w:rsidR="0044257C" w:rsidRDefault="0044257C" w:rsidP="0044257C">
      <w:pPr>
        <w:jc w:val="center"/>
        <w:rPr>
          <w:rFonts w:cs="Arial"/>
          <w:b/>
          <w:sz w:val="28"/>
          <w:szCs w:val="28"/>
        </w:rPr>
      </w:pPr>
    </w:p>
    <w:p w14:paraId="2B40995F" w14:textId="77777777" w:rsidR="0044257C" w:rsidRDefault="0044257C" w:rsidP="0044257C">
      <w:pPr>
        <w:jc w:val="center"/>
        <w:rPr>
          <w:rFonts w:cs="Arial"/>
          <w:b/>
          <w:sz w:val="28"/>
          <w:szCs w:val="28"/>
        </w:rPr>
      </w:pPr>
    </w:p>
    <w:p w14:paraId="684890F9" w14:textId="77777777" w:rsidR="0044257C" w:rsidRPr="00511E95" w:rsidRDefault="0044257C" w:rsidP="0044257C">
      <w:pPr>
        <w:jc w:val="center"/>
        <w:rPr>
          <w:rFonts w:cs="Arial"/>
          <w:b/>
          <w:sz w:val="28"/>
          <w:szCs w:val="28"/>
        </w:rPr>
      </w:pPr>
    </w:p>
    <w:p w14:paraId="42EE9AE4" w14:textId="77777777" w:rsidR="0044257C" w:rsidRDefault="0044257C" w:rsidP="0044257C">
      <w:pPr>
        <w:jc w:val="center"/>
        <w:rPr>
          <w:rFonts w:cs="Arial"/>
          <w:b/>
          <w:sz w:val="28"/>
          <w:szCs w:val="28"/>
        </w:rPr>
      </w:pPr>
      <w:r>
        <w:rPr>
          <w:rFonts w:cs="Arial"/>
          <w:b/>
          <w:sz w:val="28"/>
          <w:szCs w:val="28"/>
        </w:rPr>
        <w:t xml:space="preserve">Montana Department of Commerce </w:t>
      </w:r>
    </w:p>
    <w:p w14:paraId="56B8EF06" w14:textId="77777777" w:rsidR="0044257C" w:rsidRDefault="0044257C" w:rsidP="0044257C">
      <w:pPr>
        <w:jc w:val="center"/>
        <w:rPr>
          <w:rFonts w:cs="Arial"/>
          <w:b/>
          <w:sz w:val="28"/>
          <w:szCs w:val="28"/>
        </w:rPr>
      </w:pPr>
    </w:p>
    <w:p w14:paraId="0FB69CFD" w14:textId="77777777" w:rsidR="0044257C" w:rsidRPr="00511E95" w:rsidRDefault="0044257C" w:rsidP="0044257C">
      <w:pPr>
        <w:jc w:val="center"/>
        <w:rPr>
          <w:rFonts w:cs="Arial"/>
          <w:b/>
          <w:sz w:val="28"/>
          <w:szCs w:val="28"/>
        </w:rPr>
      </w:pPr>
      <w:r>
        <w:rPr>
          <w:rFonts w:cs="Arial"/>
          <w:b/>
          <w:sz w:val="28"/>
          <w:szCs w:val="28"/>
        </w:rPr>
        <w:t>Montana Department of Public Health and Human Services</w:t>
      </w:r>
    </w:p>
    <w:p w14:paraId="6BB14749" w14:textId="77777777" w:rsidR="0044257C" w:rsidRPr="00511E95" w:rsidRDefault="0044257C" w:rsidP="0044257C">
      <w:pPr>
        <w:tabs>
          <w:tab w:val="left" w:pos="6180"/>
        </w:tabs>
        <w:rPr>
          <w:rFonts w:cs="Arial"/>
          <w:b/>
          <w:color w:val="6E9699"/>
          <w:sz w:val="28"/>
          <w:szCs w:val="28"/>
        </w:rPr>
      </w:pPr>
    </w:p>
    <w:p w14:paraId="0B08B043" w14:textId="77777777" w:rsidR="0044257C" w:rsidRPr="00511E95" w:rsidRDefault="0044257C" w:rsidP="0044257C">
      <w:pPr>
        <w:rPr>
          <w:rFonts w:cs="Arial"/>
          <w:b/>
          <w:color w:val="6E9699"/>
          <w:sz w:val="28"/>
          <w:szCs w:val="28"/>
        </w:rPr>
      </w:pPr>
    </w:p>
    <w:p w14:paraId="296D52F9" w14:textId="77777777" w:rsidR="0044257C" w:rsidRPr="00511E95" w:rsidRDefault="0044257C" w:rsidP="0044257C">
      <w:pPr>
        <w:rPr>
          <w:rFonts w:cs="Arial"/>
          <w:b/>
          <w:color w:val="6E9699"/>
          <w:sz w:val="28"/>
          <w:szCs w:val="28"/>
        </w:rPr>
      </w:pPr>
    </w:p>
    <w:p w14:paraId="6214E8AE" w14:textId="77777777" w:rsidR="0044257C" w:rsidRPr="0001419C" w:rsidRDefault="0044257C" w:rsidP="0044257C">
      <w:pPr>
        <w:jc w:val="center"/>
        <w:rPr>
          <w:rFonts w:cs="Arial"/>
          <w:b/>
          <w:color w:val="6E9699"/>
        </w:rPr>
      </w:pPr>
      <w:r w:rsidRPr="00083C23">
        <w:rPr>
          <w:rFonts w:cs="Arial"/>
          <w:b/>
          <w:color w:val="6E9699"/>
        </w:rPr>
        <w:t>DOCConPlan@mt.gov</w:t>
      </w:r>
    </w:p>
    <w:p w14:paraId="572F4D53" w14:textId="77777777" w:rsidR="0044257C" w:rsidRPr="0001419C" w:rsidRDefault="0044257C" w:rsidP="0044257C">
      <w:pPr>
        <w:rPr>
          <w:rFonts w:cs="Arial"/>
          <w:b/>
          <w:color w:val="6E9699"/>
        </w:rPr>
      </w:pPr>
    </w:p>
    <w:p w14:paraId="22617160" w14:textId="17C98A33" w:rsidR="006A08DB" w:rsidRDefault="000C468A" w:rsidP="0044257C">
      <w:pPr>
        <w:tabs>
          <w:tab w:val="left" w:pos="720"/>
          <w:tab w:val="center" w:pos="4680"/>
          <w:tab w:val="left" w:pos="7290"/>
          <w:tab w:val="right" w:pos="9360"/>
        </w:tabs>
        <w:jc w:val="center"/>
        <w:rPr>
          <w:rStyle w:val="Hyperlink"/>
          <w:sz w:val="28"/>
          <w:szCs w:val="28"/>
        </w:rPr>
      </w:pPr>
      <w:hyperlink r:id="rId12" w:history="1">
        <w:r w:rsidR="003B0A88" w:rsidRPr="003B0A88">
          <w:rPr>
            <w:rStyle w:val="Hyperlink"/>
            <w:sz w:val="28"/>
            <w:szCs w:val="28"/>
          </w:rPr>
          <w:t>https://commerce.mt.gov/Consolidated-Plan</w:t>
        </w:r>
      </w:hyperlink>
      <w:r w:rsidR="003B0A88" w:rsidRPr="003B0A88">
        <w:t xml:space="preserve"> </w:t>
      </w:r>
    </w:p>
    <w:p w14:paraId="210F15B6" w14:textId="77777777" w:rsidR="000A13AD" w:rsidRPr="00D04BAF" w:rsidRDefault="000A13AD" w:rsidP="000A13AD"/>
    <w:p w14:paraId="5AC0B4F7" w14:textId="77777777" w:rsidR="000A13AD" w:rsidRPr="00CA737B" w:rsidRDefault="000A13AD" w:rsidP="000A13AD"/>
    <w:p w14:paraId="2DEB5D5F" w14:textId="77777777" w:rsidR="000A13AD" w:rsidRPr="00CA737B" w:rsidRDefault="000A13AD" w:rsidP="000A13AD"/>
    <w:p w14:paraId="3969BFBB" w14:textId="77777777" w:rsidR="000A13AD" w:rsidRPr="00CA737B" w:rsidRDefault="000A13AD" w:rsidP="000A13AD"/>
    <w:p w14:paraId="28ED47F2" w14:textId="77777777" w:rsidR="000A13AD" w:rsidRPr="00CA737B" w:rsidRDefault="000A13AD" w:rsidP="000A13AD"/>
    <w:p w14:paraId="31EDCEAE" w14:textId="77777777" w:rsidR="000A13AD" w:rsidRPr="00CA737B" w:rsidRDefault="000A13AD" w:rsidP="000A13AD"/>
    <w:p w14:paraId="0B1EB2CB" w14:textId="77777777" w:rsidR="000A13AD" w:rsidRPr="00CA737B" w:rsidRDefault="000A13AD" w:rsidP="000A13AD"/>
    <w:p w14:paraId="33BDD776" w14:textId="77777777" w:rsidR="000A13AD" w:rsidRPr="00CA737B" w:rsidRDefault="000A13AD" w:rsidP="000A13AD"/>
    <w:p w14:paraId="14FF88CF" w14:textId="77777777" w:rsidR="000A13AD" w:rsidRPr="00D04BAF" w:rsidRDefault="000A13AD" w:rsidP="000A13AD">
      <w:pPr>
        <w:jc w:val="center"/>
        <w:rPr>
          <w:sz w:val="24"/>
          <w:szCs w:val="24"/>
        </w:rPr>
      </w:pPr>
      <w:r w:rsidRPr="00D04BAF">
        <w:rPr>
          <w:sz w:val="24"/>
          <w:szCs w:val="24"/>
        </w:rPr>
        <w:t>2020–2024 Montana Consolidated Plan</w:t>
      </w:r>
    </w:p>
    <w:p w14:paraId="2A3036DB" w14:textId="77777777" w:rsidR="000A13AD" w:rsidRPr="00D04BAF" w:rsidRDefault="000A13AD" w:rsidP="000A13AD">
      <w:pPr>
        <w:jc w:val="center"/>
        <w:rPr>
          <w:sz w:val="24"/>
          <w:szCs w:val="24"/>
        </w:rPr>
      </w:pPr>
      <w:r w:rsidRPr="00D04BAF">
        <w:rPr>
          <w:sz w:val="24"/>
          <w:szCs w:val="24"/>
        </w:rPr>
        <w:t>for Housing and Community Development</w:t>
      </w:r>
    </w:p>
    <w:p w14:paraId="16B5383E" w14:textId="77777777" w:rsidR="000A13AD" w:rsidRPr="00CA737B" w:rsidRDefault="000A13AD" w:rsidP="000A13AD"/>
    <w:p w14:paraId="413B5D58" w14:textId="77777777" w:rsidR="000A13AD" w:rsidRPr="00CA737B" w:rsidRDefault="000A13AD" w:rsidP="000A13AD"/>
    <w:tbl>
      <w:tblPr>
        <w:tblW w:w="0" w:type="auto"/>
        <w:jc w:val="center"/>
        <w:tblBorders>
          <w:insideH w:val="single" w:sz="4" w:space="0" w:color="auto"/>
          <w:insideV w:val="single" w:sz="4" w:space="0" w:color="auto"/>
        </w:tblBorders>
        <w:tblLook w:val="04A0" w:firstRow="1" w:lastRow="0" w:firstColumn="1" w:lastColumn="0" w:noHBand="0" w:noVBand="1"/>
      </w:tblPr>
      <w:tblGrid>
        <w:gridCol w:w="2136"/>
        <w:gridCol w:w="3329"/>
      </w:tblGrid>
      <w:tr w:rsidR="000A13AD" w14:paraId="1CBC9D79" w14:textId="77777777" w:rsidTr="00E3140D">
        <w:trPr>
          <w:trHeight w:val="432"/>
          <w:jc w:val="center"/>
        </w:trPr>
        <w:tc>
          <w:tcPr>
            <w:tcW w:w="2136" w:type="dxa"/>
          </w:tcPr>
          <w:p w14:paraId="1D78C300" w14:textId="77777777" w:rsidR="000A13AD" w:rsidRPr="00C24571" w:rsidRDefault="000A13AD" w:rsidP="00E3140D">
            <w:pPr>
              <w:rPr>
                <w:b/>
                <w:sz w:val="24"/>
                <w:szCs w:val="24"/>
              </w:rPr>
            </w:pPr>
            <w:r w:rsidRPr="00C24571">
              <w:rPr>
                <w:b/>
                <w:sz w:val="24"/>
                <w:szCs w:val="24"/>
              </w:rPr>
              <w:t xml:space="preserve">Plan Year 1 </w:t>
            </w:r>
            <w:r w:rsidRPr="00C24571">
              <w:rPr>
                <w:sz w:val="24"/>
                <w:szCs w:val="24"/>
              </w:rPr>
              <w:t>(2020)</w:t>
            </w:r>
          </w:p>
        </w:tc>
        <w:tc>
          <w:tcPr>
            <w:tcW w:w="3329" w:type="dxa"/>
          </w:tcPr>
          <w:p w14:paraId="3CDD9C29" w14:textId="77777777" w:rsidR="000A13AD" w:rsidRPr="00C24571" w:rsidRDefault="000A13AD" w:rsidP="00E3140D">
            <w:pPr>
              <w:rPr>
                <w:sz w:val="24"/>
                <w:szCs w:val="24"/>
              </w:rPr>
            </w:pPr>
            <w:r w:rsidRPr="00C24571">
              <w:rPr>
                <w:sz w:val="24"/>
                <w:szCs w:val="24"/>
              </w:rPr>
              <w:t>April 1, 2020 – March 31, 2021</w:t>
            </w:r>
          </w:p>
        </w:tc>
      </w:tr>
      <w:tr w:rsidR="000A13AD" w14:paraId="0C6FFD63" w14:textId="77777777" w:rsidTr="00E3140D">
        <w:trPr>
          <w:trHeight w:val="432"/>
          <w:jc w:val="center"/>
        </w:trPr>
        <w:tc>
          <w:tcPr>
            <w:tcW w:w="2136" w:type="dxa"/>
          </w:tcPr>
          <w:p w14:paraId="0AF1F6DD" w14:textId="77777777" w:rsidR="000A13AD" w:rsidRPr="00C24571" w:rsidRDefault="000A13AD" w:rsidP="00E3140D">
            <w:pPr>
              <w:rPr>
                <w:b/>
                <w:sz w:val="24"/>
                <w:szCs w:val="24"/>
              </w:rPr>
            </w:pPr>
            <w:r w:rsidRPr="00C24571">
              <w:rPr>
                <w:b/>
                <w:sz w:val="24"/>
                <w:szCs w:val="24"/>
              </w:rPr>
              <w:t xml:space="preserve">Plan Year 2 </w:t>
            </w:r>
            <w:r w:rsidRPr="00C24571">
              <w:rPr>
                <w:sz w:val="24"/>
                <w:szCs w:val="24"/>
              </w:rPr>
              <w:t>(2021)</w:t>
            </w:r>
          </w:p>
        </w:tc>
        <w:tc>
          <w:tcPr>
            <w:tcW w:w="3329" w:type="dxa"/>
          </w:tcPr>
          <w:p w14:paraId="7F982FD5" w14:textId="77777777" w:rsidR="000A13AD" w:rsidRPr="00C24571" w:rsidRDefault="000A13AD" w:rsidP="00E3140D">
            <w:pPr>
              <w:rPr>
                <w:sz w:val="24"/>
                <w:szCs w:val="24"/>
              </w:rPr>
            </w:pPr>
            <w:r w:rsidRPr="00C24571">
              <w:rPr>
                <w:sz w:val="24"/>
                <w:szCs w:val="24"/>
              </w:rPr>
              <w:t>April 1, 2021 – March 31, 2022</w:t>
            </w:r>
          </w:p>
        </w:tc>
      </w:tr>
      <w:tr w:rsidR="000A13AD" w14:paraId="1D920329" w14:textId="77777777" w:rsidTr="00E3140D">
        <w:trPr>
          <w:trHeight w:val="432"/>
          <w:jc w:val="center"/>
        </w:trPr>
        <w:tc>
          <w:tcPr>
            <w:tcW w:w="2136" w:type="dxa"/>
          </w:tcPr>
          <w:p w14:paraId="3F586DF2" w14:textId="77777777" w:rsidR="000A13AD" w:rsidRPr="00C24571" w:rsidRDefault="000A13AD" w:rsidP="00E3140D">
            <w:pPr>
              <w:rPr>
                <w:b/>
                <w:sz w:val="24"/>
                <w:szCs w:val="24"/>
              </w:rPr>
            </w:pPr>
            <w:r w:rsidRPr="00C24571">
              <w:rPr>
                <w:b/>
                <w:sz w:val="24"/>
                <w:szCs w:val="24"/>
              </w:rPr>
              <w:t xml:space="preserve">Plan Year 3 </w:t>
            </w:r>
            <w:r w:rsidRPr="00C24571">
              <w:rPr>
                <w:sz w:val="24"/>
                <w:szCs w:val="24"/>
              </w:rPr>
              <w:t>(2022)</w:t>
            </w:r>
          </w:p>
        </w:tc>
        <w:tc>
          <w:tcPr>
            <w:tcW w:w="3329" w:type="dxa"/>
          </w:tcPr>
          <w:p w14:paraId="3E7EB27C" w14:textId="77777777" w:rsidR="000A13AD" w:rsidRPr="00C24571" w:rsidRDefault="000A13AD" w:rsidP="00E3140D">
            <w:pPr>
              <w:rPr>
                <w:sz w:val="24"/>
                <w:szCs w:val="24"/>
              </w:rPr>
            </w:pPr>
            <w:r w:rsidRPr="00C24571">
              <w:rPr>
                <w:sz w:val="24"/>
                <w:szCs w:val="24"/>
              </w:rPr>
              <w:t>April 1, 2022 – March 31, 2023</w:t>
            </w:r>
          </w:p>
        </w:tc>
      </w:tr>
      <w:tr w:rsidR="000A13AD" w14:paraId="781F353A" w14:textId="77777777" w:rsidTr="00E3140D">
        <w:trPr>
          <w:trHeight w:val="432"/>
          <w:jc w:val="center"/>
        </w:trPr>
        <w:tc>
          <w:tcPr>
            <w:tcW w:w="2136" w:type="dxa"/>
          </w:tcPr>
          <w:p w14:paraId="058FF3A5" w14:textId="77777777" w:rsidR="000A13AD" w:rsidRPr="00C24571" w:rsidRDefault="000A13AD" w:rsidP="00E3140D">
            <w:pPr>
              <w:rPr>
                <w:b/>
                <w:sz w:val="24"/>
                <w:szCs w:val="24"/>
              </w:rPr>
            </w:pPr>
            <w:r w:rsidRPr="00C24571">
              <w:rPr>
                <w:b/>
                <w:sz w:val="24"/>
                <w:szCs w:val="24"/>
              </w:rPr>
              <w:t xml:space="preserve">Plan Year 4 </w:t>
            </w:r>
            <w:r w:rsidRPr="00C24571">
              <w:rPr>
                <w:sz w:val="24"/>
                <w:szCs w:val="24"/>
              </w:rPr>
              <w:t>(2023)</w:t>
            </w:r>
          </w:p>
        </w:tc>
        <w:tc>
          <w:tcPr>
            <w:tcW w:w="3329" w:type="dxa"/>
          </w:tcPr>
          <w:p w14:paraId="7E82B9CF" w14:textId="77777777" w:rsidR="000A13AD" w:rsidRPr="00C24571" w:rsidRDefault="000A13AD" w:rsidP="00E3140D">
            <w:pPr>
              <w:rPr>
                <w:sz w:val="24"/>
                <w:szCs w:val="24"/>
              </w:rPr>
            </w:pPr>
            <w:r w:rsidRPr="00C24571">
              <w:rPr>
                <w:sz w:val="24"/>
                <w:szCs w:val="24"/>
              </w:rPr>
              <w:t>April 1, 2023 – March 31, 2024</w:t>
            </w:r>
          </w:p>
        </w:tc>
      </w:tr>
      <w:tr w:rsidR="000A13AD" w14:paraId="044CED47" w14:textId="77777777" w:rsidTr="00E3140D">
        <w:trPr>
          <w:trHeight w:val="432"/>
          <w:jc w:val="center"/>
        </w:trPr>
        <w:tc>
          <w:tcPr>
            <w:tcW w:w="2136" w:type="dxa"/>
          </w:tcPr>
          <w:p w14:paraId="6049FC29" w14:textId="77777777" w:rsidR="000A13AD" w:rsidRPr="00C24571" w:rsidRDefault="000A13AD" w:rsidP="00E3140D">
            <w:pPr>
              <w:rPr>
                <w:b/>
                <w:sz w:val="24"/>
                <w:szCs w:val="24"/>
              </w:rPr>
            </w:pPr>
            <w:r w:rsidRPr="00C24571">
              <w:rPr>
                <w:b/>
                <w:sz w:val="24"/>
                <w:szCs w:val="24"/>
              </w:rPr>
              <w:t xml:space="preserve">Plan Year 5 </w:t>
            </w:r>
            <w:r w:rsidRPr="00C24571">
              <w:rPr>
                <w:sz w:val="24"/>
                <w:szCs w:val="24"/>
              </w:rPr>
              <w:t>(2024)</w:t>
            </w:r>
          </w:p>
        </w:tc>
        <w:tc>
          <w:tcPr>
            <w:tcW w:w="3329" w:type="dxa"/>
          </w:tcPr>
          <w:p w14:paraId="115BA81C" w14:textId="77777777" w:rsidR="000A13AD" w:rsidRPr="00C24571" w:rsidRDefault="000A13AD" w:rsidP="00E3140D">
            <w:pPr>
              <w:rPr>
                <w:sz w:val="24"/>
                <w:szCs w:val="24"/>
              </w:rPr>
            </w:pPr>
            <w:r w:rsidRPr="00C24571">
              <w:rPr>
                <w:sz w:val="24"/>
                <w:szCs w:val="24"/>
              </w:rPr>
              <w:t>April 1, 2024 – March 31, 2025</w:t>
            </w:r>
          </w:p>
        </w:tc>
      </w:tr>
    </w:tbl>
    <w:p w14:paraId="16376BA0" w14:textId="77777777" w:rsidR="000A13AD" w:rsidRPr="00D04BAF" w:rsidRDefault="000A13AD" w:rsidP="000A13AD"/>
    <w:p w14:paraId="6728A0C1" w14:textId="77777777" w:rsidR="000A13AD" w:rsidRDefault="000A13AD" w:rsidP="000A13AD"/>
    <w:p w14:paraId="1CABFED5" w14:textId="77777777" w:rsidR="000A13AD" w:rsidRDefault="000A13AD" w:rsidP="000A13AD"/>
    <w:p w14:paraId="0D5BE861" w14:textId="77777777" w:rsidR="000A13AD" w:rsidRDefault="000A13AD" w:rsidP="000A13AD"/>
    <w:p w14:paraId="19EE9128" w14:textId="77777777" w:rsidR="000A13AD" w:rsidRDefault="000A13AD" w:rsidP="000A13AD"/>
    <w:p w14:paraId="70435CAE" w14:textId="77777777" w:rsidR="000A13AD" w:rsidRDefault="000A13AD" w:rsidP="000A13AD"/>
    <w:p w14:paraId="63478568" w14:textId="77777777" w:rsidR="000A13AD" w:rsidRDefault="000A13AD" w:rsidP="000A13AD"/>
    <w:p w14:paraId="49D5CCE9" w14:textId="77777777" w:rsidR="000A13AD" w:rsidRDefault="000A13AD" w:rsidP="000A13AD"/>
    <w:p w14:paraId="2A22D03A" w14:textId="77777777" w:rsidR="000A13AD" w:rsidRDefault="000A13AD" w:rsidP="000A13AD"/>
    <w:p w14:paraId="19C697F6" w14:textId="77777777" w:rsidR="000A13AD" w:rsidRDefault="000A13AD" w:rsidP="000A13AD"/>
    <w:p w14:paraId="72C08205" w14:textId="77777777" w:rsidR="000A13AD" w:rsidRPr="00D04BAF" w:rsidRDefault="000A13AD" w:rsidP="000A13AD"/>
    <w:p w14:paraId="5E48E8DC" w14:textId="13E4EC11" w:rsidR="000A13AD" w:rsidRPr="006257F4" w:rsidRDefault="000A13AD" w:rsidP="000A13AD">
      <w:pPr>
        <w:spacing w:before="19"/>
        <w:ind w:left="221" w:right="219"/>
        <w:jc w:val="center"/>
        <w:rPr>
          <w:rFonts w:eastAsia="Times New Roman" w:cs="Calibri"/>
          <w:sz w:val="24"/>
          <w:szCs w:val="24"/>
        </w:rPr>
      </w:pPr>
      <w:r w:rsidRPr="006257F4">
        <w:rPr>
          <w:rFonts w:eastAsia="Times New Roman"/>
          <w:sz w:val="24"/>
          <w:szCs w:val="24"/>
        </w:rPr>
        <w:t>The</w:t>
      </w:r>
      <w:r w:rsidRPr="006257F4">
        <w:rPr>
          <w:rFonts w:eastAsia="Times New Roman"/>
          <w:spacing w:val="-1"/>
          <w:sz w:val="24"/>
          <w:szCs w:val="24"/>
        </w:rPr>
        <w:t xml:space="preserve"> Montana Department</w:t>
      </w:r>
      <w:r w:rsidRPr="006257F4">
        <w:rPr>
          <w:rFonts w:eastAsia="Times New Roman"/>
          <w:sz w:val="24"/>
          <w:szCs w:val="24"/>
        </w:rPr>
        <w:t xml:space="preserve"> of</w:t>
      </w:r>
      <w:r w:rsidRPr="006257F4">
        <w:rPr>
          <w:rFonts w:eastAsia="Times New Roman"/>
          <w:spacing w:val="-1"/>
          <w:sz w:val="24"/>
          <w:szCs w:val="24"/>
        </w:rPr>
        <w:t xml:space="preserve"> Commerce will provide </w:t>
      </w:r>
      <w:r w:rsidR="006216A8" w:rsidRPr="006257F4">
        <w:rPr>
          <w:rFonts w:eastAsia="Times New Roman"/>
          <w:spacing w:val="-1"/>
          <w:sz w:val="24"/>
          <w:szCs w:val="24"/>
        </w:rPr>
        <w:t>alternative accessible</w:t>
      </w:r>
      <w:r w:rsidRPr="006257F4">
        <w:rPr>
          <w:rFonts w:eastAsia="Times New Roman"/>
          <w:spacing w:val="-1"/>
          <w:sz w:val="24"/>
          <w:szCs w:val="24"/>
        </w:rPr>
        <w:t xml:space="preserve"> formats </w:t>
      </w:r>
      <w:r w:rsidRPr="006257F4">
        <w:rPr>
          <w:rFonts w:eastAsia="Times New Roman"/>
          <w:sz w:val="24"/>
          <w:szCs w:val="24"/>
        </w:rPr>
        <w:t>of</w:t>
      </w:r>
      <w:r w:rsidRPr="006257F4">
        <w:rPr>
          <w:rFonts w:eastAsia="Times New Roman"/>
          <w:spacing w:val="-4"/>
          <w:sz w:val="24"/>
          <w:szCs w:val="24"/>
        </w:rPr>
        <w:t xml:space="preserve"> </w:t>
      </w:r>
      <w:r w:rsidRPr="006257F4">
        <w:rPr>
          <w:rFonts w:eastAsia="Times New Roman"/>
          <w:sz w:val="24"/>
          <w:szCs w:val="24"/>
        </w:rPr>
        <w:t>this</w:t>
      </w:r>
      <w:r w:rsidRPr="006257F4">
        <w:rPr>
          <w:rFonts w:eastAsia="Times New Roman"/>
          <w:spacing w:val="-1"/>
          <w:sz w:val="24"/>
          <w:szCs w:val="24"/>
        </w:rPr>
        <w:t xml:space="preserve"> document</w:t>
      </w:r>
      <w:r w:rsidRPr="006257F4">
        <w:rPr>
          <w:rFonts w:eastAsia="Times New Roman"/>
          <w:sz w:val="24"/>
          <w:szCs w:val="24"/>
        </w:rPr>
        <w:t xml:space="preserve"> </w:t>
      </w:r>
      <w:r w:rsidRPr="006257F4">
        <w:rPr>
          <w:rFonts w:eastAsia="Times New Roman"/>
          <w:spacing w:val="-1"/>
          <w:sz w:val="24"/>
          <w:szCs w:val="24"/>
        </w:rPr>
        <w:t>upon</w:t>
      </w:r>
      <w:r w:rsidRPr="006257F4">
        <w:rPr>
          <w:rFonts w:eastAsia="Times New Roman"/>
          <w:spacing w:val="-3"/>
          <w:sz w:val="24"/>
          <w:szCs w:val="24"/>
        </w:rPr>
        <w:t xml:space="preserve"> </w:t>
      </w:r>
      <w:r w:rsidRPr="006257F4">
        <w:rPr>
          <w:rFonts w:eastAsia="Times New Roman"/>
          <w:spacing w:val="-1"/>
          <w:sz w:val="24"/>
          <w:szCs w:val="24"/>
        </w:rPr>
        <w:t>request.</w:t>
      </w:r>
      <w:r w:rsidRPr="006257F4">
        <w:rPr>
          <w:rFonts w:eastAsia="Times New Roman"/>
          <w:spacing w:val="-2"/>
          <w:sz w:val="24"/>
          <w:szCs w:val="24"/>
        </w:rPr>
        <w:t xml:space="preserve"> </w:t>
      </w:r>
      <w:r w:rsidRPr="006257F4">
        <w:rPr>
          <w:rFonts w:eastAsia="Times New Roman"/>
          <w:spacing w:val="-1"/>
          <w:sz w:val="24"/>
          <w:szCs w:val="24"/>
        </w:rPr>
        <w:t>If you need</w:t>
      </w:r>
      <w:r w:rsidRPr="006257F4">
        <w:rPr>
          <w:rFonts w:eastAsia="Times New Roman"/>
          <w:spacing w:val="-3"/>
          <w:sz w:val="24"/>
          <w:szCs w:val="24"/>
        </w:rPr>
        <w:t xml:space="preserve"> </w:t>
      </w:r>
      <w:r w:rsidRPr="006257F4">
        <w:rPr>
          <w:rFonts w:eastAsia="Times New Roman"/>
          <w:sz w:val="24"/>
          <w:szCs w:val="24"/>
        </w:rPr>
        <w:t>this</w:t>
      </w:r>
      <w:r w:rsidRPr="006257F4">
        <w:rPr>
          <w:rFonts w:eastAsia="Times New Roman"/>
          <w:spacing w:val="-1"/>
          <w:sz w:val="24"/>
          <w:szCs w:val="24"/>
        </w:rPr>
        <w:t xml:space="preserve"> document</w:t>
      </w:r>
      <w:r w:rsidRPr="006257F4">
        <w:rPr>
          <w:rFonts w:eastAsia="Times New Roman"/>
          <w:sz w:val="24"/>
          <w:szCs w:val="24"/>
        </w:rPr>
        <w:t xml:space="preserve"> in</w:t>
      </w:r>
      <w:r w:rsidRPr="006257F4">
        <w:rPr>
          <w:rFonts w:eastAsia="Times New Roman"/>
          <w:spacing w:val="49"/>
          <w:sz w:val="24"/>
          <w:szCs w:val="24"/>
        </w:rPr>
        <w:t xml:space="preserve"> </w:t>
      </w:r>
      <w:r w:rsidRPr="006257F4">
        <w:rPr>
          <w:rFonts w:eastAsia="Times New Roman"/>
          <w:sz w:val="24"/>
          <w:szCs w:val="24"/>
        </w:rPr>
        <w:t>an</w:t>
      </w:r>
      <w:r w:rsidRPr="006257F4">
        <w:rPr>
          <w:rFonts w:eastAsia="Times New Roman"/>
          <w:spacing w:val="-1"/>
          <w:sz w:val="24"/>
          <w:szCs w:val="24"/>
        </w:rPr>
        <w:t xml:space="preserve"> alternative </w:t>
      </w:r>
      <w:r w:rsidRPr="006257F4">
        <w:rPr>
          <w:rFonts w:eastAsia="Times New Roman"/>
          <w:spacing w:val="-2"/>
          <w:sz w:val="24"/>
          <w:szCs w:val="24"/>
        </w:rPr>
        <w:t>format</w:t>
      </w:r>
      <w:r w:rsidRPr="006257F4">
        <w:rPr>
          <w:rFonts w:eastAsia="Times New Roman"/>
          <w:sz w:val="24"/>
          <w:szCs w:val="24"/>
        </w:rPr>
        <w:t xml:space="preserve"> </w:t>
      </w:r>
      <w:r w:rsidRPr="006257F4">
        <w:rPr>
          <w:rFonts w:eastAsia="Times New Roman"/>
          <w:spacing w:val="-1"/>
          <w:sz w:val="24"/>
          <w:szCs w:val="24"/>
        </w:rPr>
        <w:t xml:space="preserve">such </w:t>
      </w:r>
      <w:r w:rsidRPr="006257F4">
        <w:rPr>
          <w:rFonts w:eastAsia="Times New Roman"/>
          <w:sz w:val="24"/>
          <w:szCs w:val="24"/>
        </w:rPr>
        <w:t>as</w:t>
      </w:r>
      <w:r w:rsidRPr="006257F4">
        <w:rPr>
          <w:rFonts w:eastAsia="Times New Roman"/>
          <w:spacing w:val="-1"/>
          <w:sz w:val="24"/>
          <w:szCs w:val="24"/>
        </w:rPr>
        <w:t xml:space="preserve"> large print,</w:t>
      </w:r>
      <w:r w:rsidRPr="006257F4">
        <w:rPr>
          <w:rFonts w:eastAsia="Times New Roman"/>
          <w:spacing w:val="-2"/>
          <w:sz w:val="24"/>
          <w:szCs w:val="24"/>
        </w:rPr>
        <w:t xml:space="preserve"> </w:t>
      </w:r>
      <w:r w:rsidRPr="006257F4">
        <w:rPr>
          <w:rFonts w:eastAsia="Times New Roman"/>
          <w:spacing w:val="-1"/>
          <w:sz w:val="24"/>
          <w:szCs w:val="24"/>
        </w:rPr>
        <w:t>Braille,</w:t>
      </w:r>
      <w:r w:rsidRPr="006257F4">
        <w:rPr>
          <w:rFonts w:eastAsia="Times New Roman"/>
          <w:spacing w:val="-2"/>
          <w:sz w:val="24"/>
          <w:szCs w:val="24"/>
        </w:rPr>
        <w:t xml:space="preserve"> </w:t>
      </w:r>
      <w:r w:rsidRPr="006257F4">
        <w:rPr>
          <w:rFonts w:eastAsia="Times New Roman"/>
          <w:spacing w:val="-1"/>
          <w:sz w:val="24"/>
          <w:szCs w:val="24"/>
        </w:rPr>
        <w:t>audiotape,</w:t>
      </w:r>
      <w:r w:rsidRPr="006257F4">
        <w:rPr>
          <w:rFonts w:eastAsia="Times New Roman"/>
          <w:spacing w:val="-2"/>
          <w:sz w:val="24"/>
          <w:szCs w:val="24"/>
        </w:rPr>
        <w:t xml:space="preserve"> </w:t>
      </w:r>
      <w:r w:rsidRPr="006257F4">
        <w:rPr>
          <w:rFonts w:eastAsia="Times New Roman"/>
          <w:sz w:val="24"/>
          <w:szCs w:val="24"/>
        </w:rPr>
        <w:t>or</w:t>
      </w:r>
      <w:r w:rsidRPr="006257F4">
        <w:rPr>
          <w:rFonts w:eastAsia="Times New Roman"/>
          <w:spacing w:val="-3"/>
          <w:sz w:val="24"/>
          <w:szCs w:val="24"/>
        </w:rPr>
        <w:t xml:space="preserve"> </w:t>
      </w:r>
      <w:r w:rsidR="006216A8" w:rsidRPr="006257F4">
        <w:rPr>
          <w:rFonts w:eastAsia="Times New Roman"/>
          <w:spacing w:val="-1"/>
          <w:sz w:val="24"/>
          <w:szCs w:val="24"/>
        </w:rPr>
        <w:t>computer diskette</w:t>
      </w:r>
      <w:r w:rsidRPr="006257F4">
        <w:rPr>
          <w:rFonts w:eastAsia="Times New Roman"/>
          <w:spacing w:val="-1"/>
          <w:sz w:val="24"/>
          <w:szCs w:val="24"/>
        </w:rPr>
        <w:t>,</w:t>
      </w:r>
      <w:r w:rsidRPr="006257F4">
        <w:rPr>
          <w:rFonts w:eastAsia="Times New Roman"/>
          <w:spacing w:val="-2"/>
          <w:sz w:val="24"/>
          <w:szCs w:val="24"/>
        </w:rPr>
        <w:t xml:space="preserve"> </w:t>
      </w:r>
      <w:r w:rsidRPr="006257F4">
        <w:rPr>
          <w:rFonts w:eastAsia="Times New Roman"/>
          <w:spacing w:val="-1"/>
          <w:sz w:val="24"/>
          <w:szCs w:val="24"/>
        </w:rPr>
        <w:t>please contact</w:t>
      </w:r>
      <w:r w:rsidRPr="006257F4">
        <w:rPr>
          <w:rFonts w:eastAsia="Times New Roman"/>
          <w:sz w:val="24"/>
          <w:szCs w:val="24"/>
        </w:rPr>
        <w:t xml:space="preserve"> </w:t>
      </w:r>
      <w:r w:rsidRPr="006257F4">
        <w:rPr>
          <w:rFonts w:eastAsia="Times New Roman"/>
          <w:spacing w:val="-1"/>
          <w:sz w:val="24"/>
          <w:szCs w:val="24"/>
        </w:rPr>
        <w:t>the Department.</w:t>
      </w:r>
    </w:p>
    <w:p w14:paraId="2E1A2141" w14:textId="77777777" w:rsidR="000A13AD" w:rsidRPr="006257F4" w:rsidRDefault="000A13AD" w:rsidP="000A13AD">
      <w:pPr>
        <w:ind w:left="2246" w:right="2246"/>
        <w:jc w:val="center"/>
        <w:rPr>
          <w:rFonts w:eastAsia="Times New Roman"/>
          <w:sz w:val="24"/>
          <w:szCs w:val="24"/>
        </w:rPr>
      </w:pPr>
    </w:p>
    <w:p w14:paraId="3B7A9294" w14:textId="77777777" w:rsidR="000A13AD" w:rsidRPr="006257F4" w:rsidRDefault="000C468A" w:rsidP="000A13AD">
      <w:pPr>
        <w:ind w:left="2246" w:right="2246"/>
        <w:jc w:val="center"/>
        <w:rPr>
          <w:rFonts w:eastAsia="Times New Roman"/>
          <w:spacing w:val="-1"/>
          <w:sz w:val="24"/>
          <w:szCs w:val="24"/>
        </w:rPr>
      </w:pPr>
      <w:hyperlink r:id="rId13">
        <w:r w:rsidR="000A13AD" w:rsidRPr="006257F4">
          <w:rPr>
            <w:rFonts w:eastAsia="Times New Roman"/>
            <w:spacing w:val="-1"/>
            <w:sz w:val="24"/>
            <w:szCs w:val="24"/>
          </w:rPr>
          <w:t>DOCConPlan@mt.gov</w:t>
        </w:r>
      </w:hyperlink>
    </w:p>
    <w:p w14:paraId="68561B0B" w14:textId="77777777" w:rsidR="000A13AD" w:rsidRPr="006257F4" w:rsidRDefault="000A13AD" w:rsidP="000A13AD">
      <w:pPr>
        <w:ind w:left="2246" w:right="2246"/>
        <w:jc w:val="center"/>
        <w:rPr>
          <w:rFonts w:eastAsia="Times New Roman"/>
          <w:spacing w:val="25"/>
          <w:sz w:val="24"/>
          <w:szCs w:val="24"/>
        </w:rPr>
      </w:pPr>
    </w:p>
    <w:p w14:paraId="4A5868AF" w14:textId="407F4525" w:rsidR="000A13AD" w:rsidRPr="006257F4" w:rsidRDefault="000A13AD" w:rsidP="000A13AD">
      <w:pPr>
        <w:ind w:left="2246" w:right="2246" w:firstLine="1"/>
        <w:jc w:val="center"/>
        <w:rPr>
          <w:rFonts w:eastAsia="Times New Roman"/>
          <w:spacing w:val="-1"/>
          <w:sz w:val="24"/>
          <w:szCs w:val="24"/>
        </w:rPr>
      </w:pPr>
      <w:r w:rsidRPr="006257F4">
        <w:rPr>
          <w:rFonts w:eastAsia="Times New Roman"/>
          <w:spacing w:val="-1"/>
          <w:sz w:val="24"/>
          <w:szCs w:val="24"/>
        </w:rPr>
        <w:t>Phone:</w:t>
      </w:r>
      <w:r w:rsidRPr="006257F4">
        <w:rPr>
          <w:rFonts w:eastAsia="Times New Roman"/>
          <w:spacing w:val="-2"/>
          <w:sz w:val="24"/>
          <w:szCs w:val="24"/>
        </w:rPr>
        <w:t xml:space="preserve"> </w:t>
      </w:r>
      <w:r w:rsidRPr="006257F4">
        <w:rPr>
          <w:rFonts w:eastAsia="Times New Roman"/>
          <w:spacing w:val="-1"/>
          <w:sz w:val="24"/>
          <w:szCs w:val="24"/>
        </w:rPr>
        <w:t>(406)</w:t>
      </w:r>
      <w:r w:rsidRPr="006257F4">
        <w:rPr>
          <w:rFonts w:eastAsia="Times New Roman"/>
          <w:spacing w:val="-2"/>
          <w:sz w:val="24"/>
          <w:szCs w:val="24"/>
        </w:rPr>
        <w:t xml:space="preserve"> </w:t>
      </w:r>
      <w:r w:rsidRPr="006257F4">
        <w:rPr>
          <w:rFonts w:eastAsia="Times New Roman"/>
          <w:spacing w:val="-1"/>
          <w:sz w:val="24"/>
          <w:szCs w:val="24"/>
        </w:rPr>
        <w:t>841-27</w:t>
      </w:r>
      <w:r w:rsidR="00713818">
        <w:rPr>
          <w:rFonts w:eastAsia="Times New Roman"/>
          <w:spacing w:val="-1"/>
          <w:sz w:val="24"/>
          <w:szCs w:val="24"/>
        </w:rPr>
        <w:t>7</w:t>
      </w:r>
      <w:r w:rsidRPr="006257F4">
        <w:rPr>
          <w:rFonts w:eastAsia="Times New Roman"/>
          <w:spacing w:val="-1"/>
          <w:sz w:val="24"/>
          <w:szCs w:val="24"/>
        </w:rPr>
        <w:t>0</w:t>
      </w:r>
    </w:p>
    <w:p w14:paraId="3CB4ECCC" w14:textId="77777777" w:rsidR="000A13AD" w:rsidRPr="006257F4" w:rsidRDefault="000A13AD" w:rsidP="000A13AD">
      <w:pPr>
        <w:ind w:left="2246" w:right="2246" w:firstLine="1"/>
        <w:jc w:val="center"/>
        <w:rPr>
          <w:rFonts w:eastAsia="Times New Roman"/>
          <w:spacing w:val="-1"/>
          <w:sz w:val="24"/>
          <w:szCs w:val="24"/>
        </w:rPr>
      </w:pPr>
    </w:p>
    <w:p w14:paraId="03ED252E" w14:textId="215330F9" w:rsidR="000A13AD" w:rsidRPr="006257F4" w:rsidRDefault="000A13AD" w:rsidP="000A13AD">
      <w:pPr>
        <w:spacing w:line="339" w:lineRule="exact"/>
        <w:ind w:left="2246" w:right="2246"/>
        <w:jc w:val="center"/>
        <w:rPr>
          <w:rFonts w:eastAsia="Times New Roman"/>
          <w:spacing w:val="-1"/>
          <w:sz w:val="24"/>
          <w:szCs w:val="24"/>
        </w:rPr>
      </w:pPr>
      <w:r w:rsidRPr="006257F4">
        <w:rPr>
          <w:rFonts w:eastAsia="Times New Roman"/>
          <w:sz w:val="24"/>
          <w:szCs w:val="24"/>
        </w:rPr>
        <w:t>Fax:</w:t>
      </w:r>
      <w:r w:rsidRPr="006257F4">
        <w:rPr>
          <w:rFonts w:eastAsia="Times New Roman"/>
          <w:spacing w:val="-2"/>
          <w:sz w:val="24"/>
          <w:szCs w:val="24"/>
        </w:rPr>
        <w:t xml:space="preserve"> </w:t>
      </w:r>
      <w:r w:rsidRPr="006257F4">
        <w:rPr>
          <w:rFonts w:eastAsia="Times New Roman"/>
          <w:spacing w:val="-1"/>
          <w:sz w:val="24"/>
          <w:szCs w:val="24"/>
        </w:rPr>
        <w:t>(406)</w:t>
      </w:r>
      <w:r w:rsidRPr="006257F4">
        <w:rPr>
          <w:rFonts w:eastAsia="Times New Roman"/>
          <w:spacing w:val="-2"/>
          <w:sz w:val="24"/>
          <w:szCs w:val="24"/>
        </w:rPr>
        <w:t xml:space="preserve"> </w:t>
      </w:r>
      <w:r w:rsidRPr="006257F4">
        <w:rPr>
          <w:rFonts w:eastAsia="Times New Roman"/>
          <w:spacing w:val="-1"/>
          <w:sz w:val="24"/>
          <w:szCs w:val="24"/>
        </w:rPr>
        <w:t>841-27</w:t>
      </w:r>
      <w:r w:rsidR="000B6EF4">
        <w:rPr>
          <w:rFonts w:eastAsia="Times New Roman"/>
          <w:spacing w:val="-1"/>
          <w:sz w:val="24"/>
          <w:szCs w:val="24"/>
        </w:rPr>
        <w:t>7</w:t>
      </w:r>
      <w:r w:rsidRPr="006257F4">
        <w:rPr>
          <w:rFonts w:eastAsia="Times New Roman"/>
          <w:spacing w:val="-1"/>
          <w:sz w:val="24"/>
          <w:szCs w:val="24"/>
        </w:rPr>
        <w:t>1</w:t>
      </w:r>
    </w:p>
    <w:p w14:paraId="3BB80BBC" w14:textId="77777777" w:rsidR="000A13AD" w:rsidRPr="006257F4" w:rsidRDefault="000A13AD" w:rsidP="000A13AD">
      <w:pPr>
        <w:spacing w:line="339" w:lineRule="exact"/>
        <w:ind w:left="2246" w:right="2246"/>
        <w:jc w:val="center"/>
        <w:rPr>
          <w:rFonts w:eastAsia="Times New Roman" w:cs="Calibri"/>
          <w:sz w:val="24"/>
          <w:szCs w:val="24"/>
        </w:rPr>
      </w:pPr>
    </w:p>
    <w:p w14:paraId="1EA703B7" w14:textId="77777777" w:rsidR="000A13AD" w:rsidRPr="006257F4" w:rsidRDefault="000A13AD" w:rsidP="000A13AD">
      <w:pPr>
        <w:ind w:left="2246" w:right="2246"/>
        <w:jc w:val="center"/>
        <w:rPr>
          <w:rFonts w:eastAsia="Times New Roman" w:cs="Calibri"/>
          <w:sz w:val="24"/>
          <w:szCs w:val="24"/>
        </w:rPr>
      </w:pPr>
      <w:r w:rsidRPr="006257F4">
        <w:rPr>
          <w:rFonts w:eastAsia="Times New Roman"/>
          <w:sz w:val="24"/>
          <w:szCs w:val="24"/>
        </w:rPr>
        <w:t>TDD:</w:t>
      </w:r>
      <w:r w:rsidRPr="006257F4">
        <w:rPr>
          <w:rFonts w:eastAsia="Times New Roman"/>
          <w:spacing w:val="-2"/>
          <w:sz w:val="24"/>
          <w:szCs w:val="24"/>
        </w:rPr>
        <w:t xml:space="preserve"> </w:t>
      </w:r>
      <w:r w:rsidRPr="006257F4">
        <w:rPr>
          <w:rFonts w:eastAsia="Times New Roman"/>
          <w:spacing w:val="-1"/>
          <w:sz w:val="24"/>
          <w:szCs w:val="24"/>
        </w:rPr>
        <w:t>(800)-841-2702</w:t>
      </w:r>
    </w:p>
    <w:p w14:paraId="084643D9" w14:textId="77777777" w:rsidR="000A13AD" w:rsidRPr="006257F4" w:rsidRDefault="000A13AD" w:rsidP="000A13AD">
      <w:pPr>
        <w:ind w:left="2250" w:right="2250"/>
        <w:jc w:val="center"/>
        <w:rPr>
          <w:rFonts w:eastAsia="Times New Roman" w:cs="Calibri"/>
          <w:bCs/>
          <w:sz w:val="24"/>
          <w:szCs w:val="24"/>
        </w:rPr>
      </w:pPr>
    </w:p>
    <w:p w14:paraId="0AA5906F" w14:textId="77777777" w:rsidR="000A13AD" w:rsidRDefault="000A13AD" w:rsidP="000A13AD">
      <w:pPr>
        <w:spacing w:before="187"/>
        <w:ind w:left="2250" w:right="2250"/>
        <w:jc w:val="center"/>
        <w:rPr>
          <w:rFonts w:eastAsia="Times New Roman"/>
          <w:spacing w:val="-1"/>
          <w:sz w:val="24"/>
          <w:szCs w:val="24"/>
        </w:rPr>
        <w:sectPr w:rsidR="000A13AD" w:rsidSect="00007697">
          <w:headerReference w:type="default" r:id="rId14"/>
          <w:footerReference w:type="default" r:id="rId15"/>
          <w:pgSz w:w="12240" w:h="15840"/>
          <w:pgMar w:top="1440" w:right="1440" w:bottom="1440" w:left="1440" w:header="720" w:footer="720" w:gutter="0"/>
          <w:pgNumType w:start="1"/>
          <w:cols w:space="720"/>
          <w:docGrid w:linePitch="360"/>
        </w:sectPr>
      </w:pPr>
      <w:bookmarkStart w:id="2" w:name="Montana_Relay_Services_number:_711"/>
      <w:bookmarkEnd w:id="2"/>
      <w:r w:rsidRPr="006257F4">
        <w:rPr>
          <w:rFonts w:eastAsia="Times New Roman"/>
          <w:spacing w:val="-1"/>
          <w:sz w:val="24"/>
          <w:szCs w:val="24"/>
        </w:rPr>
        <w:t>Montana Relay</w:t>
      </w:r>
      <w:r w:rsidRPr="006257F4">
        <w:rPr>
          <w:rFonts w:eastAsia="Times New Roman"/>
          <w:spacing w:val="-2"/>
          <w:sz w:val="24"/>
          <w:szCs w:val="24"/>
        </w:rPr>
        <w:t xml:space="preserve"> </w:t>
      </w:r>
      <w:r w:rsidRPr="006257F4">
        <w:rPr>
          <w:rFonts w:eastAsia="Times New Roman"/>
          <w:spacing w:val="-1"/>
          <w:sz w:val="24"/>
          <w:szCs w:val="24"/>
        </w:rPr>
        <w:t>Services number:</w:t>
      </w:r>
      <w:r w:rsidRPr="006257F4">
        <w:rPr>
          <w:rFonts w:eastAsia="Times New Roman"/>
          <w:spacing w:val="-2"/>
          <w:sz w:val="24"/>
          <w:szCs w:val="24"/>
        </w:rPr>
        <w:t xml:space="preserve"> </w:t>
      </w:r>
      <w:r w:rsidRPr="006257F4">
        <w:rPr>
          <w:rFonts w:eastAsia="Times New Roman"/>
          <w:spacing w:val="-1"/>
          <w:sz w:val="24"/>
          <w:szCs w:val="24"/>
        </w:rPr>
        <w:t>711</w:t>
      </w:r>
    </w:p>
    <w:p w14:paraId="0AD02E0F" w14:textId="5D121708" w:rsidR="006A08DB" w:rsidRPr="000E4FB3" w:rsidRDefault="006A08DB" w:rsidP="006A08DB">
      <w:pPr>
        <w:pStyle w:val="Heading1"/>
      </w:pPr>
      <w:bookmarkStart w:id="3" w:name="_Toc32220905"/>
      <w:bookmarkStart w:id="4" w:name="_Toc56449229"/>
      <w:bookmarkStart w:id="5" w:name="_Toc68532849"/>
      <w:bookmarkStart w:id="6" w:name="_Toc70504985"/>
      <w:bookmarkStart w:id="7" w:name="_Toc72413461"/>
      <w:bookmarkStart w:id="8" w:name="_Toc72413483"/>
      <w:r w:rsidRPr="000E4FB3">
        <w:lastRenderedPageBreak/>
        <w:t>Table of Contents</w:t>
      </w:r>
      <w:bookmarkEnd w:id="3"/>
      <w:bookmarkEnd w:id="4"/>
      <w:bookmarkEnd w:id="5"/>
      <w:bookmarkEnd w:id="6"/>
      <w:bookmarkEnd w:id="7"/>
      <w:bookmarkEnd w:id="8"/>
    </w:p>
    <w:p w14:paraId="39E6895E" w14:textId="300E3F07" w:rsidR="001F1F7B" w:rsidRDefault="001F1F7B">
      <w:pPr>
        <w:pStyle w:val="TOC1"/>
        <w:tabs>
          <w:tab w:val="right" w:leader="dot" w:pos="9350"/>
        </w:tabs>
        <w:rPr>
          <w:rFonts w:eastAsiaTheme="minorEastAsia"/>
          <w:noProof/>
        </w:rPr>
      </w:pPr>
      <w:r>
        <w:rPr>
          <w:color w:val="2B579A"/>
          <w:shd w:val="clear" w:color="auto" w:fill="E6E6E6"/>
        </w:rPr>
        <w:fldChar w:fldCharType="begin"/>
      </w:r>
      <w:r>
        <w:instrText xml:space="preserve"> TOC \o "1-2" \h \z \u </w:instrText>
      </w:r>
      <w:r>
        <w:rPr>
          <w:color w:val="2B579A"/>
          <w:shd w:val="clear" w:color="auto" w:fill="E6E6E6"/>
        </w:rPr>
        <w:fldChar w:fldCharType="separate"/>
      </w:r>
      <w:hyperlink w:anchor="_Toc72413484" w:history="1">
        <w:r w:rsidRPr="001E5B26">
          <w:rPr>
            <w:rStyle w:val="Hyperlink"/>
            <w:noProof/>
          </w:rPr>
          <w:t>The Process</w:t>
        </w:r>
        <w:r>
          <w:rPr>
            <w:noProof/>
            <w:webHidden/>
          </w:rPr>
          <w:tab/>
        </w:r>
        <w:r>
          <w:rPr>
            <w:noProof/>
            <w:webHidden/>
            <w:color w:val="2B579A"/>
            <w:shd w:val="clear" w:color="auto" w:fill="E6E6E6"/>
          </w:rPr>
          <w:fldChar w:fldCharType="begin"/>
        </w:r>
        <w:r>
          <w:rPr>
            <w:noProof/>
            <w:webHidden/>
          </w:rPr>
          <w:instrText xml:space="preserve"> PAGEREF _Toc72413484 \h </w:instrText>
        </w:r>
        <w:r>
          <w:rPr>
            <w:noProof/>
            <w:webHidden/>
            <w:color w:val="2B579A"/>
            <w:shd w:val="clear" w:color="auto" w:fill="E6E6E6"/>
          </w:rPr>
        </w:r>
        <w:r>
          <w:rPr>
            <w:noProof/>
            <w:webHidden/>
            <w:color w:val="2B579A"/>
            <w:shd w:val="clear" w:color="auto" w:fill="E6E6E6"/>
          </w:rPr>
          <w:fldChar w:fldCharType="separate"/>
        </w:r>
        <w:r w:rsidR="005A77F2">
          <w:rPr>
            <w:noProof/>
            <w:webHidden/>
          </w:rPr>
          <w:t>1</w:t>
        </w:r>
        <w:r>
          <w:rPr>
            <w:noProof/>
            <w:webHidden/>
            <w:color w:val="2B579A"/>
            <w:shd w:val="clear" w:color="auto" w:fill="E6E6E6"/>
          </w:rPr>
          <w:fldChar w:fldCharType="end"/>
        </w:r>
      </w:hyperlink>
    </w:p>
    <w:p w14:paraId="5C30BE5A" w14:textId="5E85DEE5" w:rsidR="001F1F7B" w:rsidRDefault="000C468A">
      <w:pPr>
        <w:pStyle w:val="TOC2"/>
        <w:tabs>
          <w:tab w:val="right" w:leader="dot" w:pos="9350"/>
        </w:tabs>
        <w:rPr>
          <w:rFonts w:eastAsiaTheme="minorEastAsia"/>
          <w:noProof/>
        </w:rPr>
      </w:pPr>
      <w:hyperlink w:anchor="_Toc72413485" w:history="1">
        <w:r w:rsidR="001F1F7B" w:rsidRPr="001E5B26">
          <w:rPr>
            <w:rStyle w:val="Hyperlink"/>
            <w:noProof/>
          </w:rPr>
          <w:t>AP-05 Executive Summary – 91.300(c), 91.320(b)</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_Toc72413485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1</w:t>
        </w:r>
        <w:r w:rsidR="001F1F7B">
          <w:rPr>
            <w:noProof/>
            <w:webHidden/>
            <w:color w:val="2B579A"/>
            <w:shd w:val="clear" w:color="auto" w:fill="E6E6E6"/>
          </w:rPr>
          <w:fldChar w:fldCharType="end"/>
        </w:r>
      </w:hyperlink>
    </w:p>
    <w:p w14:paraId="55036F6A" w14:textId="2C31BEE9" w:rsidR="001F1F7B" w:rsidRDefault="000C468A">
      <w:pPr>
        <w:pStyle w:val="TOC2"/>
        <w:tabs>
          <w:tab w:val="right" w:leader="dot" w:pos="9350"/>
        </w:tabs>
        <w:rPr>
          <w:rFonts w:eastAsiaTheme="minorEastAsia"/>
          <w:noProof/>
        </w:rPr>
      </w:pPr>
      <w:hyperlink w:anchor="_Toc72413486" w:history="1">
        <w:r w:rsidR="001F1F7B" w:rsidRPr="001E5B26">
          <w:rPr>
            <w:rStyle w:val="Hyperlink"/>
            <w:noProof/>
          </w:rPr>
          <w:t>PR-05 Lead &amp; Responsible Agencies – 91.300(b)</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_Toc72413486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4</w:t>
        </w:r>
        <w:r w:rsidR="001F1F7B">
          <w:rPr>
            <w:noProof/>
            <w:webHidden/>
            <w:color w:val="2B579A"/>
            <w:shd w:val="clear" w:color="auto" w:fill="E6E6E6"/>
          </w:rPr>
          <w:fldChar w:fldCharType="end"/>
        </w:r>
      </w:hyperlink>
    </w:p>
    <w:p w14:paraId="7FD624D9" w14:textId="3F75D946" w:rsidR="001F1F7B" w:rsidRDefault="000C468A">
      <w:pPr>
        <w:pStyle w:val="TOC2"/>
        <w:tabs>
          <w:tab w:val="right" w:leader="dot" w:pos="9350"/>
        </w:tabs>
        <w:rPr>
          <w:rFonts w:eastAsiaTheme="minorEastAsia"/>
          <w:noProof/>
        </w:rPr>
      </w:pPr>
      <w:hyperlink w:anchor="_Toc72413487" w:history="1">
        <w:r w:rsidR="001F1F7B" w:rsidRPr="001E5B26">
          <w:rPr>
            <w:rStyle w:val="Hyperlink"/>
            <w:noProof/>
          </w:rPr>
          <w:t>AP-10 Consultation – 91.110, 91.300(b), 91.315(l)</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_Toc72413487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5</w:t>
        </w:r>
        <w:r w:rsidR="001F1F7B">
          <w:rPr>
            <w:noProof/>
            <w:webHidden/>
            <w:color w:val="2B579A"/>
            <w:shd w:val="clear" w:color="auto" w:fill="E6E6E6"/>
          </w:rPr>
          <w:fldChar w:fldCharType="end"/>
        </w:r>
      </w:hyperlink>
    </w:p>
    <w:p w14:paraId="555095E3" w14:textId="23B6F612" w:rsidR="001F1F7B" w:rsidRDefault="000C468A">
      <w:pPr>
        <w:pStyle w:val="TOC2"/>
        <w:tabs>
          <w:tab w:val="right" w:leader="dot" w:pos="9350"/>
        </w:tabs>
        <w:rPr>
          <w:rFonts w:eastAsiaTheme="minorEastAsia"/>
          <w:noProof/>
        </w:rPr>
      </w:pPr>
      <w:hyperlink w:anchor="_Toc72413488" w:history="1">
        <w:r w:rsidR="001F1F7B" w:rsidRPr="001E5B26">
          <w:rPr>
            <w:rStyle w:val="Hyperlink"/>
            <w:noProof/>
          </w:rPr>
          <w:t>AP-12 Participation – 91.115, 91.300(c)</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_Toc72413488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26</w:t>
        </w:r>
        <w:r w:rsidR="001F1F7B">
          <w:rPr>
            <w:noProof/>
            <w:webHidden/>
            <w:color w:val="2B579A"/>
            <w:shd w:val="clear" w:color="auto" w:fill="E6E6E6"/>
          </w:rPr>
          <w:fldChar w:fldCharType="end"/>
        </w:r>
      </w:hyperlink>
    </w:p>
    <w:p w14:paraId="0F930574" w14:textId="634205C6" w:rsidR="001F1F7B" w:rsidRDefault="000C468A">
      <w:pPr>
        <w:pStyle w:val="TOC1"/>
        <w:tabs>
          <w:tab w:val="right" w:leader="dot" w:pos="9350"/>
        </w:tabs>
        <w:rPr>
          <w:rFonts w:eastAsiaTheme="minorEastAsia"/>
          <w:noProof/>
        </w:rPr>
      </w:pPr>
      <w:hyperlink w:anchor="_Toc72413489" w:history="1">
        <w:r w:rsidR="001F1F7B" w:rsidRPr="001E5B26">
          <w:rPr>
            <w:rStyle w:val="Hyperlink"/>
            <w:noProof/>
          </w:rPr>
          <w:t>Annual Action Plan</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_Toc72413489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28</w:t>
        </w:r>
        <w:r w:rsidR="001F1F7B">
          <w:rPr>
            <w:noProof/>
            <w:webHidden/>
            <w:color w:val="2B579A"/>
            <w:shd w:val="clear" w:color="auto" w:fill="E6E6E6"/>
          </w:rPr>
          <w:fldChar w:fldCharType="end"/>
        </w:r>
      </w:hyperlink>
    </w:p>
    <w:p w14:paraId="1644DA68" w14:textId="363F976C" w:rsidR="001F1F7B" w:rsidRDefault="000C468A">
      <w:pPr>
        <w:pStyle w:val="TOC2"/>
        <w:tabs>
          <w:tab w:val="right" w:leader="dot" w:pos="9350"/>
        </w:tabs>
        <w:rPr>
          <w:rFonts w:eastAsiaTheme="minorEastAsia"/>
          <w:noProof/>
        </w:rPr>
      </w:pPr>
      <w:hyperlink w:anchor="_Toc72413490" w:history="1">
        <w:r w:rsidR="001F1F7B" w:rsidRPr="001E5B26">
          <w:rPr>
            <w:rStyle w:val="Hyperlink"/>
            <w:noProof/>
          </w:rPr>
          <w:t>AP-15 Expected Resources – 91.320(c)(1,2)</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_Toc72413490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28</w:t>
        </w:r>
        <w:r w:rsidR="001F1F7B">
          <w:rPr>
            <w:noProof/>
            <w:webHidden/>
            <w:color w:val="2B579A"/>
            <w:shd w:val="clear" w:color="auto" w:fill="E6E6E6"/>
          </w:rPr>
          <w:fldChar w:fldCharType="end"/>
        </w:r>
      </w:hyperlink>
    </w:p>
    <w:p w14:paraId="6A7B8226" w14:textId="68C95E6A" w:rsidR="001F1F7B" w:rsidRDefault="000C468A">
      <w:pPr>
        <w:pStyle w:val="TOC2"/>
        <w:tabs>
          <w:tab w:val="right" w:leader="dot" w:pos="9350"/>
        </w:tabs>
        <w:rPr>
          <w:rFonts w:eastAsiaTheme="minorEastAsia"/>
          <w:noProof/>
        </w:rPr>
      </w:pPr>
      <w:hyperlink w:anchor="_Toc72413491" w:history="1">
        <w:r w:rsidR="001F1F7B" w:rsidRPr="001E5B26">
          <w:rPr>
            <w:rStyle w:val="Hyperlink"/>
            <w:noProof/>
          </w:rPr>
          <w:t>AP-20 Annual Goals and Objectives – 91.320(c)(3)&amp;(e)</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_Toc72413491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32</w:t>
        </w:r>
        <w:r w:rsidR="001F1F7B">
          <w:rPr>
            <w:noProof/>
            <w:webHidden/>
            <w:color w:val="2B579A"/>
            <w:shd w:val="clear" w:color="auto" w:fill="E6E6E6"/>
          </w:rPr>
          <w:fldChar w:fldCharType="end"/>
        </w:r>
      </w:hyperlink>
    </w:p>
    <w:p w14:paraId="1F3CD8C1" w14:textId="1037F874" w:rsidR="001F1F7B" w:rsidRDefault="000C468A">
      <w:pPr>
        <w:pStyle w:val="TOC2"/>
        <w:tabs>
          <w:tab w:val="right" w:leader="dot" w:pos="9350"/>
        </w:tabs>
        <w:rPr>
          <w:rFonts w:eastAsiaTheme="minorEastAsia"/>
          <w:noProof/>
        </w:rPr>
      </w:pPr>
      <w:hyperlink w:anchor="_Toc72413492" w:history="1">
        <w:r w:rsidR="001F1F7B" w:rsidRPr="001E5B26">
          <w:rPr>
            <w:rStyle w:val="Hyperlink"/>
            <w:noProof/>
          </w:rPr>
          <w:t>AP-25 Allocation Priorities – 91.320(d)</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_Toc72413492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35</w:t>
        </w:r>
        <w:r w:rsidR="001F1F7B">
          <w:rPr>
            <w:noProof/>
            <w:webHidden/>
            <w:color w:val="2B579A"/>
            <w:shd w:val="clear" w:color="auto" w:fill="E6E6E6"/>
          </w:rPr>
          <w:fldChar w:fldCharType="end"/>
        </w:r>
      </w:hyperlink>
    </w:p>
    <w:p w14:paraId="7C541BA2" w14:textId="4E433BDA" w:rsidR="001F1F7B" w:rsidRDefault="000C468A">
      <w:pPr>
        <w:pStyle w:val="TOC2"/>
        <w:tabs>
          <w:tab w:val="right" w:leader="dot" w:pos="9350"/>
        </w:tabs>
        <w:rPr>
          <w:rFonts w:eastAsiaTheme="minorEastAsia"/>
          <w:noProof/>
        </w:rPr>
      </w:pPr>
      <w:hyperlink w:anchor="_Toc72413493" w:history="1">
        <w:r w:rsidR="001F1F7B" w:rsidRPr="001E5B26">
          <w:rPr>
            <w:rStyle w:val="Hyperlink"/>
            <w:noProof/>
          </w:rPr>
          <w:t>AP-30 Methods of Distribution – 91.320(d)&amp;(k)</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_Toc72413493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38</w:t>
        </w:r>
        <w:r w:rsidR="001F1F7B">
          <w:rPr>
            <w:noProof/>
            <w:webHidden/>
            <w:color w:val="2B579A"/>
            <w:shd w:val="clear" w:color="auto" w:fill="E6E6E6"/>
          </w:rPr>
          <w:fldChar w:fldCharType="end"/>
        </w:r>
      </w:hyperlink>
    </w:p>
    <w:p w14:paraId="41B5068B" w14:textId="045BFF81" w:rsidR="001F1F7B" w:rsidRDefault="000C468A">
      <w:pPr>
        <w:pStyle w:val="TOC2"/>
        <w:tabs>
          <w:tab w:val="right" w:leader="dot" w:pos="9350"/>
        </w:tabs>
        <w:rPr>
          <w:rFonts w:eastAsiaTheme="minorEastAsia"/>
          <w:noProof/>
        </w:rPr>
      </w:pPr>
      <w:hyperlink w:anchor="_Toc72413494" w:history="1">
        <w:r w:rsidR="001F1F7B" w:rsidRPr="001E5B26">
          <w:rPr>
            <w:rStyle w:val="Hyperlink"/>
            <w:noProof/>
          </w:rPr>
          <w:t>AP-35 Projects – (Optional)</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_Toc72413494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49</w:t>
        </w:r>
        <w:r w:rsidR="001F1F7B">
          <w:rPr>
            <w:noProof/>
            <w:webHidden/>
            <w:color w:val="2B579A"/>
            <w:shd w:val="clear" w:color="auto" w:fill="E6E6E6"/>
          </w:rPr>
          <w:fldChar w:fldCharType="end"/>
        </w:r>
      </w:hyperlink>
    </w:p>
    <w:p w14:paraId="58C8E387" w14:textId="58659B27" w:rsidR="001F1F7B" w:rsidRDefault="000C468A">
      <w:pPr>
        <w:pStyle w:val="TOC2"/>
        <w:tabs>
          <w:tab w:val="right" w:leader="dot" w:pos="9350"/>
        </w:tabs>
        <w:rPr>
          <w:rFonts w:eastAsiaTheme="minorEastAsia"/>
          <w:noProof/>
        </w:rPr>
      </w:pPr>
      <w:hyperlink w:anchor="_Toc72413495" w:history="1">
        <w:r w:rsidR="001F1F7B" w:rsidRPr="001E5B26">
          <w:rPr>
            <w:rStyle w:val="Hyperlink"/>
            <w:noProof/>
          </w:rPr>
          <w:t>AP-40 Section 108 Loan Guarantee – 91.320(k)(1)(ii)</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_Toc72413495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50</w:t>
        </w:r>
        <w:r w:rsidR="001F1F7B">
          <w:rPr>
            <w:noProof/>
            <w:webHidden/>
            <w:color w:val="2B579A"/>
            <w:shd w:val="clear" w:color="auto" w:fill="E6E6E6"/>
          </w:rPr>
          <w:fldChar w:fldCharType="end"/>
        </w:r>
      </w:hyperlink>
    </w:p>
    <w:p w14:paraId="2DCD9480" w14:textId="4CFE1636" w:rsidR="001F1F7B" w:rsidRDefault="000C468A">
      <w:pPr>
        <w:pStyle w:val="TOC2"/>
        <w:tabs>
          <w:tab w:val="right" w:leader="dot" w:pos="9350"/>
        </w:tabs>
        <w:rPr>
          <w:rFonts w:eastAsiaTheme="minorEastAsia"/>
          <w:noProof/>
        </w:rPr>
      </w:pPr>
      <w:hyperlink w:anchor="_Toc72413496" w:history="1">
        <w:r w:rsidR="001F1F7B" w:rsidRPr="001E5B26">
          <w:rPr>
            <w:rStyle w:val="Hyperlink"/>
            <w:noProof/>
          </w:rPr>
          <w:t>AP-45 Community Revitalization Strategies – 91.320(k)(1)(ii)</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_Toc72413496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50</w:t>
        </w:r>
        <w:r w:rsidR="001F1F7B">
          <w:rPr>
            <w:noProof/>
            <w:webHidden/>
            <w:color w:val="2B579A"/>
            <w:shd w:val="clear" w:color="auto" w:fill="E6E6E6"/>
          </w:rPr>
          <w:fldChar w:fldCharType="end"/>
        </w:r>
      </w:hyperlink>
    </w:p>
    <w:p w14:paraId="42C6BFE7" w14:textId="4AA6F6CD" w:rsidR="001F1F7B" w:rsidRDefault="000C468A">
      <w:pPr>
        <w:pStyle w:val="TOC2"/>
        <w:tabs>
          <w:tab w:val="right" w:leader="dot" w:pos="9350"/>
        </w:tabs>
        <w:rPr>
          <w:rFonts w:eastAsiaTheme="minorEastAsia"/>
          <w:noProof/>
        </w:rPr>
      </w:pPr>
      <w:hyperlink w:anchor="_Toc72413497" w:history="1">
        <w:r w:rsidR="001F1F7B" w:rsidRPr="001E5B26">
          <w:rPr>
            <w:rStyle w:val="Hyperlink"/>
            <w:noProof/>
          </w:rPr>
          <w:t>AP-50 Geographic Distribution – 91.320(f)</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_Toc72413497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50</w:t>
        </w:r>
        <w:r w:rsidR="001F1F7B">
          <w:rPr>
            <w:noProof/>
            <w:webHidden/>
            <w:color w:val="2B579A"/>
            <w:shd w:val="clear" w:color="auto" w:fill="E6E6E6"/>
          </w:rPr>
          <w:fldChar w:fldCharType="end"/>
        </w:r>
      </w:hyperlink>
    </w:p>
    <w:p w14:paraId="5DBCCCBE" w14:textId="0256E082" w:rsidR="001F1F7B" w:rsidRDefault="000C468A">
      <w:pPr>
        <w:pStyle w:val="TOC2"/>
        <w:tabs>
          <w:tab w:val="right" w:leader="dot" w:pos="9350"/>
        </w:tabs>
        <w:rPr>
          <w:rFonts w:eastAsiaTheme="minorEastAsia"/>
          <w:noProof/>
        </w:rPr>
      </w:pPr>
      <w:hyperlink w:anchor="_Toc72413498" w:history="1">
        <w:r w:rsidR="001F1F7B" w:rsidRPr="001E5B26">
          <w:rPr>
            <w:rStyle w:val="Hyperlink"/>
            <w:noProof/>
          </w:rPr>
          <w:t>AP-55 Affordable Housing – 24 CFR 91.320(g)</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_Toc72413498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51</w:t>
        </w:r>
        <w:r w:rsidR="001F1F7B">
          <w:rPr>
            <w:noProof/>
            <w:webHidden/>
            <w:color w:val="2B579A"/>
            <w:shd w:val="clear" w:color="auto" w:fill="E6E6E6"/>
          </w:rPr>
          <w:fldChar w:fldCharType="end"/>
        </w:r>
      </w:hyperlink>
    </w:p>
    <w:p w14:paraId="2F078E55" w14:textId="59EF7A05" w:rsidR="001F1F7B" w:rsidRDefault="000C468A">
      <w:pPr>
        <w:pStyle w:val="TOC2"/>
        <w:tabs>
          <w:tab w:val="right" w:leader="dot" w:pos="9350"/>
        </w:tabs>
        <w:rPr>
          <w:rFonts w:eastAsiaTheme="minorEastAsia"/>
          <w:noProof/>
        </w:rPr>
      </w:pPr>
      <w:hyperlink w:anchor="_Toc72413499" w:history="1">
        <w:r w:rsidR="001F1F7B" w:rsidRPr="001E5B26">
          <w:rPr>
            <w:rStyle w:val="Hyperlink"/>
            <w:noProof/>
          </w:rPr>
          <w:t>AP-60 Public Housing - 24 CFR 91.320(j)</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_Toc72413499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52</w:t>
        </w:r>
        <w:r w:rsidR="001F1F7B">
          <w:rPr>
            <w:noProof/>
            <w:webHidden/>
            <w:color w:val="2B579A"/>
            <w:shd w:val="clear" w:color="auto" w:fill="E6E6E6"/>
          </w:rPr>
          <w:fldChar w:fldCharType="end"/>
        </w:r>
      </w:hyperlink>
    </w:p>
    <w:p w14:paraId="4FEC2FA4" w14:textId="532904C2" w:rsidR="001F1F7B" w:rsidRDefault="000C468A">
      <w:pPr>
        <w:pStyle w:val="TOC2"/>
        <w:tabs>
          <w:tab w:val="right" w:leader="dot" w:pos="9350"/>
        </w:tabs>
        <w:rPr>
          <w:rFonts w:eastAsiaTheme="minorEastAsia"/>
          <w:noProof/>
        </w:rPr>
      </w:pPr>
      <w:hyperlink w:anchor="_Toc72413500" w:history="1">
        <w:r w:rsidR="001F1F7B" w:rsidRPr="001E5B26">
          <w:rPr>
            <w:rStyle w:val="Hyperlink"/>
            <w:noProof/>
          </w:rPr>
          <w:t>AP-65 Homeless and Other Special Needs Activities – 91.320(h)</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_Toc72413500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52</w:t>
        </w:r>
        <w:r w:rsidR="001F1F7B">
          <w:rPr>
            <w:noProof/>
            <w:webHidden/>
            <w:color w:val="2B579A"/>
            <w:shd w:val="clear" w:color="auto" w:fill="E6E6E6"/>
          </w:rPr>
          <w:fldChar w:fldCharType="end"/>
        </w:r>
      </w:hyperlink>
    </w:p>
    <w:p w14:paraId="32EC7B79" w14:textId="67A86961" w:rsidR="001F1F7B" w:rsidRDefault="000C468A">
      <w:pPr>
        <w:pStyle w:val="TOC2"/>
        <w:tabs>
          <w:tab w:val="right" w:leader="dot" w:pos="9350"/>
        </w:tabs>
        <w:rPr>
          <w:rFonts w:eastAsiaTheme="minorEastAsia"/>
          <w:noProof/>
        </w:rPr>
      </w:pPr>
      <w:hyperlink w:anchor="_Toc72413501" w:history="1">
        <w:r w:rsidR="001F1F7B" w:rsidRPr="001E5B26">
          <w:rPr>
            <w:rStyle w:val="Hyperlink"/>
            <w:noProof/>
          </w:rPr>
          <w:t>AP-70 HOPWA Goals – 91.320(k)(4)</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_Toc72413501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55</w:t>
        </w:r>
        <w:r w:rsidR="001F1F7B">
          <w:rPr>
            <w:noProof/>
            <w:webHidden/>
            <w:color w:val="2B579A"/>
            <w:shd w:val="clear" w:color="auto" w:fill="E6E6E6"/>
          </w:rPr>
          <w:fldChar w:fldCharType="end"/>
        </w:r>
      </w:hyperlink>
    </w:p>
    <w:p w14:paraId="3549A314" w14:textId="42DFA573" w:rsidR="001F1F7B" w:rsidRDefault="000C468A">
      <w:pPr>
        <w:pStyle w:val="TOC2"/>
        <w:tabs>
          <w:tab w:val="right" w:leader="dot" w:pos="9350"/>
        </w:tabs>
        <w:rPr>
          <w:rFonts w:eastAsiaTheme="minorEastAsia"/>
          <w:noProof/>
        </w:rPr>
      </w:pPr>
      <w:hyperlink w:anchor="_Toc72413502" w:history="1">
        <w:r w:rsidR="001F1F7B" w:rsidRPr="001E5B26">
          <w:rPr>
            <w:rStyle w:val="Hyperlink"/>
            <w:noProof/>
          </w:rPr>
          <w:t>AP-75 Barriers to affordable housing – 91.320(i)</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_Toc72413502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55</w:t>
        </w:r>
        <w:r w:rsidR="001F1F7B">
          <w:rPr>
            <w:noProof/>
            <w:webHidden/>
            <w:color w:val="2B579A"/>
            <w:shd w:val="clear" w:color="auto" w:fill="E6E6E6"/>
          </w:rPr>
          <w:fldChar w:fldCharType="end"/>
        </w:r>
      </w:hyperlink>
    </w:p>
    <w:p w14:paraId="6502131A" w14:textId="18DB063F" w:rsidR="001F1F7B" w:rsidRDefault="000C468A">
      <w:pPr>
        <w:pStyle w:val="TOC2"/>
        <w:tabs>
          <w:tab w:val="right" w:leader="dot" w:pos="9350"/>
        </w:tabs>
        <w:rPr>
          <w:rFonts w:eastAsiaTheme="minorEastAsia"/>
          <w:noProof/>
        </w:rPr>
      </w:pPr>
      <w:hyperlink w:anchor="_Toc72413503" w:history="1">
        <w:r w:rsidR="001F1F7B" w:rsidRPr="001E5B26">
          <w:rPr>
            <w:rStyle w:val="Hyperlink"/>
            <w:noProof/>
          </w:rPr>
          <w:t>AP-85 Other Actions – 91.320(j)</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_Toc72413503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57</w:t>
        </w:r>
        <w:r w:rsidR="001F1F7B">
          <w:rPr>
            <w:noProof/>
            <w:webHidden/>
            <w:color w:val="2B579A"/>
            <w:shd w:val="clear" w:color="auto" w:fill="E6E6E6"/>
          </w:rPr>
          <w:fldChar w:fldCharType="end"/>
        </w:r>
      </w:hyperlink>
    </w:p>
    <w:p w14:paraId="1BA3A84F" w14:textId="258B4DB8" w:rsidR="001F1F7B" w:rsidRDefault="000C468A">
      <w:pPr>
        <w:pStyle w:val="TOC2"/>
        <w:tabs>
          <w:tab w:val="right" w:leader="dot" w:pos="9350"/>
        </w:tabs>
        <w:rPr>
          <w:rFonts w:eastAsiaTheme="minorEastAsia"/>
          <w:noProof/>
        </w:rPr>
      </w:pPr>
      <w:hyperlink w:anchor="_Toc72413504" w:history="1">
        <w:r w:rsidR="001F1F7B" w:rsidRPr="001E5B26">
          <w:rPr>
            <w:rStyle w:val="Hyperlink"/>
            <w:noProof/>
          </w:rPr>
          <w:t>AP-90 Program Specific Requirements – 91.320(k)(1,2,3)</w:t>
        </w:r>
        <w:r w:rsidR="001F1F7B">
          <w:rPr>
            <w:noProof/>
            <w:webHidden/>
          </w:rPr>
          <w:tab/>
        </w:r>
        <w:r w:rsidR="001F1F7B">
          <w:rPr>
            <w:noProof/>
            <w:webHidden/>
            <w:color w:val="2B579A"/>
            <w:shd w:val="clear" w:color="auto" w:fill="E6E6E6"/>
          </w:rPr>
          <w:fldChar w:fldCharType="begin"/>
        </w:r>
        <w:r w:rsidR="001F1F7B">
          <w:rPr>
            <w:noProof/>
            <w:webHidden/>
          </w:rPr>
          <w:instrText xml:space="preserve"> PAGEREF _Toc72413504 \h </w:instrText>
        </w:r>
        <w:r w:rsidR="001F1F7B">
          <w:rPr>
            <w:noProof/>
            <w:webHidden/>
            <w:color w:val="2B579A"/>
            <w:shd w:val="clear" w:color="auto" w:fill="E6E6E6"/>
          </w:rPr>
        </w:r>
        <w:r w:rsidR="001F1F7B">
          <w:rPr>
            <w:noProof/>
            <w:webHidden/>
            <w:color w:val="2B579A"/>
            <w:shd w:val="clear" w:color="auto" w:fill="E6E6E6"/>
          </w:rPr>
          <w:fldChar w:fldCharType="separate"/>
        </w:r>
        <w:r w:rsidR="005A77F2">
          <w:rPr>
            <w:noProof/>
            <w:webHidden/>
          </w:rPr>
          <w:t>60</w:t>
        </w:r>
        <w:r w:rsidR="001F1F7B">
          <w:rPr>
            <w:noProof/>
            <w:webHidden/>
            <w:color w:val="2B579A"/>
            <w:shd w:val="clear" w:color="auto" w:fill="E6E6E6"/>
          </w:rPr>
          <w:fldChar w:fldCharType="end"/>
        </w:r>
      </w:hyperlink>
    </w:p>
    <w:p w14:paraId="6651874A" w14:textId="77777777" w:rsidR="007C4E90" w:rsidRDefault="001F1F7B" w:rsidP="007C4E90">
      <w:pPr>
        <w:spacing w:after="160" w:line="259" w:lineRule="auto"/>
      </w:pPr>
      <w:r>
        <w:rPr>
          <w:color w:val="2B579A"/>
          <w:shd w:val="clear" w:color="auto" w:fill="E6E6E6"/>
        </w:rPr>
        <w:fldChar w:fldCharType="end"/>
      </w:r>
    </w:p>
    <w:p w14:paraId="1D578900" w14:textId="0DB3D618" w:rsidR="007C4E90" w:rsidRDefault="007C4E90" w:rsidP="007C4E90">
      <w:pPr>
        <w:spacing w:after="160" w:line="259" w:lineRule="auto"/>
      </w:pPr>
      <w:r>
        <w:t>Appendix A:</w:t>
      </w:r>
      <w:r w:rsidR="00713818">
        <w:tab/>
      </w:r>
      <w:r>
        <w:t>Commerce HTF Rehabilitation Standards</w:t>
      </w:r>
    </w:p>
    <w:p w14:paraId="6F457BFA" w14:textId="0898DB68" w:rsidR="00C20333" w:rsidRDefault="007C4E90" w:rsidP="007C4E90">
      <w:pPr>
        <w:spacing w:after="160" w:line="259" w:lineRule="auto"/>
      </w:pPr>
      <w:r>
        <w:t>Appendix B:</w:t>
      </w:r>
      <w:r>
        <w:tab/>
        <w:t xml:space="preserve">Public Engagement Record </w:t>
      </w:r>
    </w:p>
    <w:p w14:paraId="44E2E36F" w14:textId="77777777" w:rsidR="007C4E90" w:rsidRDefault="007C4E90" w:rsidP="007C4E90">
      <w:pPr>
        <w:spacing w:after="160" w:line="259" w:lineRule="auto"/>
      </w:pPr>
    </w:p>
    <w:p w14:paraId="299304DA" w14:textId="77777777" w:rsidR="00C20333" w:rsidRDefault="00C20333" w:rsidP="00C20333">
      <w:pPr>
        <w:pStyle w:val="Heading2"/>
      </w:pPr>
      <w:r>
        <w:t>List of Tables</w:t>
      </w:r>
    </w:p>
    <w:p w14:paraId="3E4CD0CC" w14:textId="3E5845C7" w:rsidR="00C20333" w:rsidRDefault="00C20333">
      <w:pPr>
        <w:pStyle w:val="TOC1"/>
        <w:tabs>
          <w:tab w:val="right" w:leader="dot" w:pos="9350"/>
        </w:tabs>
        <w:rPr>
          <w:rFonts w:eastAsiaTheme="minorEastAsia"/>
          <w:noProof/>
        </w:rPr>
      </w:pPr>
      <w:r>
        <w:rPr>
          <w:color w:val="2B579A"/>
          <w:shd w:val="clear" w:color="auto" w:fill="E6E6E6"/>
        </w:rPr>
        <w:fldChar w:fldCharType="begin"/>
      </w:r>
      <w:r>
        <w:instrText xml:space="preserve"> TOC \t "Table Caption,1" </w:instrText>
      </w:r>
      <w:r>
        <w:rPr>
          <w:color w:val="2B579A"/>
          <w:shd w:val="clear" w:color="auto" w:fill="E6E6E6"/>
        </w:rPr>
        <w:fldChar w:fldCharType="separate"/>
      </w:r>
      <w:r>
        <w:rPr>
          <w:noProof/>
        </w:rPr>
        <w:t>Table 1 – Responsible Agencies</w:t>
      </w:r>
      <w:r>
        <w:rPr>
          <w:noProof/>
        </w:rPr>
        <w:tab/>
      </w:r>
      <w:r>
        <w:rPr>
          <w:noProof/>
          <w:color w:val="2B579A"/>
          <w:shd w:val="clear" w:color="auto" w:fill="E6E6E6"/>
        </w:rPr>
        <w:fldChar w:fldCharType="begin"/>
      </w:r>
      <w:r>
        <w:rPr>
          <w:noProof/>
        </w:rPr>
        <w:instrText xml:space="preserve"> PAGEREF _Toc73081438 \h </w:instrText>
      </w:r>
      <w:r>
        <w:rPr>
          <w:noProof/>
          <w:color w:val="2B579A"/>
          <w:shd w:val="clear" w:color="auto" w:fill="E6E6E6"/>
        </w:rPr>
      </w:r>
      <w:r>
        <w:rPr>
          <w:noProof/>
          <w:color w:val="2B579A"/>
          <w:shd w:val="clear" w:color="auto" w:fill="E6E6E6"/>
        </w:rPr>
        <w:fldChar w:fldCharType="separate"/>
      </w:r>
      <w:r w:rsidR="005A77F2">
        <w:rPr>
          <w:noProof/>
        </w:rPr>
        <w:t>4</w:t>
      </w:r>
      <w:r>
        <w:rPr>
          <w:noProof/>
          <w:color w:val="2B579A"/>
          <w:shd w:val="clear" w:color="auto" w:fill="E6E6E6"/>
        </w:rPr>
        <w:fldChar w:fldCharType="end"/>
      </w:r>
    </w:p>
    <w:p w14:paraId="23F2EB77" w14:textId="6C315379" w:rsidR="00C20333" w:rsidRDefault="00C20333">
      <w:pPr>
        <w:pStyle w:val="TOC1"/>
        <w:tabs>
          <w:tab w:val="right" w:leader="dot" w:pos="9350"/>
        </w:tabs>
        <w:rPr>
          <w:rFonts w:eastAsiaTheme="minorEastAsia"/>
          <w:noProof/>
        </w:rPr>
      </w:pPr>
      <w:r>
        <w:rPr>
          <w:noProof/>
        </w:rPr>
        <w:t>Table 2 – Agencies, Groups, Organizations who Participated</w:t>
      </w:r>
      <w:r>
        <w:rPr>
          <w:noProof/>
        </w:rPr>
        <w:tab/>
      </w:r>
      <w:r>
        <w:rPr>
          <w:noProof/>
          <w:color w:val="2B579A"/>
          <w:shd w:val="clear" w:color="auto" w:fill="E6E6E6"/>
        </w:rPr>
        <w:fldChar w:fldCharType="begin"/>
      </w:r>
      <w:r>
        <w:rPr>
          <w:noProof/>
        </w:rPr>
        <w:instrText xml:space="preserve"> PAGEREF _Toc73081439 \h </w:instrText>
      </w:r>
      <w:r>
        <w:rPr>
          <w:noProof/>
          <w:color w:val="2B579A"/>
          <w:shd w:val="clear" w:color="auto" w:fill="E6E6E6"/>
        </w:rPr>
      </w:r>
      <w:r>
        <w:rPr>
          <w:noProof/>
          <w:color w:val="2B579A"/>
          <w:shd w:val="clear" w:color="auto" w:fill="E6E6E6"/>
        </w:rPr>
        <w:fldChar w:fldCharType="separate"/>
      </w:r>
      <w:r w:rsidR="005A77F2">
        <w:rPr>
          <w:noProof/>
        </w:rPr>
        <w:t>6</w:t>
      </w:r>
      <w:r>
        <w:rPr>
          <w:noProof/>
          <w:color w:val="2B579A"/>
          <w:shd w:val="clear" w:color="auto" w:fill="E6E6E6"/>
        </w:rPr>
        <w:fldChar w:fldCharType="end"/>
      </w:r>
    </w:p>
    <w:p w14:paraId="39400767" w14:textId="32952DD1" w:rsidR="00C20333" w:rsidRDefault="00C20333">
      <w:pPr>
        <w:pStyle w:val="TOC1"/>
        <w:tabs>
          <w:tab w:val="right" w:leader="dot" w:pos="9350"/>
        </w:tabs>
        <w:rPr>
          <w:rFonts w:eastAsiaTheme="minorEastAsia"/>
          <w:noProof/>
        </w:rPr>
      </w:pPr>
      <w:r>
        <w:rPr>
          <w:noProof/>
        </w:rPr>
        <w:t>Table 3 – Other Local / Regional / Federal Planning Efforts</w:t>
      </w:r>
      <w:r>
        <w:rPr>
          <w:noProof/>
        </w:rPr>
        <w:tab/>
      </w:r>
      <w:r>
        <w:rPr>
          <w:noProof/>
          <w:color w:val="2B579A"/>
          <w:shd w:val="clear" w:color="auto" w:fill="E6E6E6"/>
        </w:rPr>
        <w:fldChar w:fldCharType="begin"/>
      </w:r>
      <w:r>
        <w:rPr>
          <w:noProof/>
        </w:rPr>
        <w:instrText xml:space="preserve"> PAGEREF _Toc73081440 \h </w:instrText>
      </w:r>
      <w:r>
        <w:rPr>
          <w:noProof/>
          <w:color w:val="2B579A"/>
          <w:shd w:val="clear" w:color="auto" w:fill="E6E6E6"/>
        </w:rPr>
      </w:r>
      <w:r>
        <w:rPr>
          <w:noProof/>
          <w:color w:val="2B579A"/>
          <w:shd w:val="clear" w:color="auto" w:fill="E6E6E6"/>
        </w:rPr>
        <w:fldChar w:fldCharType="separate"/>
      </w:r>
      <w:r w:rsidR="005A77F2">
        <w:rPr>
          <w:noProof/>
        </w:rPr>
        <w:t>25</w:t>
      </w:r>
      <w:r>
        <w:rPr>
          <w:noProof/>
          <w:color w:val="2B579A"/>
          <w:shd w:val="clear" w:color="auto" w:fill="E6E6E6"/>
        </w:rPr>
        <w:fldChar w:fldCharType="end"/>
      </w:r>
    </w:p>
    <w:p w14:paraId="6868C5B8" w14:textId="7597F460" w:rsidR="00C20333" w:rsidRDefault="00C20333">
      <w:pPr>
        <w:pStyle w:val="TOC1"/>
        <w:tabs>
          <w:tab w:val="right" w:leader="dot" w:pos="9350"/>
        </w:tabs>
        <w:rPr>
          <w:rFonts w:eastAsiaTheme="minorEastAsia"/>
          <w:noProof/>
        </w:rPr>
      </w:pPr>
      <w:r>
        <w:rPr>
          <w:noProof/>
        </w:rPr>
        <w:t>Table 4 – Citizen Participation Outreach</w:t>
      </w:r>
      <w:r>
        <w:rPr>
          <w:noProof/>
        </w:rPr>
        <w:tab/>
      </w:r>
      <w:r>
        <w:rPr>
          <w:noProof/>
          <w:color w:val="2B579A"/>
          <w:shd w:val="clear" w:color="auto" w:fill="E6E6E6"/>
        </w:rPr>
        <w:fldChar w:fldCharType="begin"/>
      </w:r>
      <w:r>
        <w:rPr>
          <w:noProof/>
        </w:rPr>
        <w:instrText xml:space="preserve"> PAGEREF _Toc73081441 \h </w:instrText>
      </w:r>
      <w:r>
        <w:rPr>
          <w:noProof/>
          <w:color w:val="2B579A"/>
          <w:shd w:val="clear" w:color="auto" w:fill="E6E6E6"/>
        </w:rPr>
      </w:r>
      <w:r>
        <w:rPr>
          <w:noProof/>
          <w:color w:val="2B579A"/>
          <w:shd w:val="clear" w:color="auto" w:fill="E6E6E6"/>
        </w:rPr>
        <w:fldChar w:fldCharType="separate"/>
      </w:r>
      <w:r w:rsidR="005A77F2">
        <w:rPr>
          <w:noProof/>
        </w:rPr>
        <w:t>26</w:t>
      </w:r>
      <w:r>
        <w:rPr>
          <w:noProof/>
          <w:color w:val="2B579A"/>
          <w:shd w:val="clear" w:color="auto" w:fill="E6E6E6"/>
        </w:rPr>
        <w:fldChar w:fldCharType="end"/>
      </w:r>
    </w:p>
    <w:p w14:paraId="167612BE" w14:textId="11671BC6" w:rsidR="00C20333" w:rsidRDefault="00C20333">
      <w:pPr>
        <w:pStyle w:val="TOC1"/>
        <w:tabs>
          <w:tab w:val="right" w:leader="dot" w:pos="9350"/>
        </w:tabs>
        <w:rPr>
          <w:rFonts w:eastAsiaTheme="minorEastAsia"/>
          <w:noProof/>
        </w:rPr>
      </w:pPr>
      <w:r>
        <w:rPr>
          <w:noProof/>
        </w:rPr>
        <w:t>Table 5 – Expected Resources – Priority Table</w:t>
      </w:r>
      <w:r>
        <w:rPr>
          <w:noProof/>
        </w:rPr>
        <w:tab/>
      </w:r>
      <w:r>
        <w:rPr>
          <w:noProof/>
          <w:color w:val="2B579A"/>
          <w:shd w:val="clear" w:color="auto" w:fill="E6E6E6"/>
        </w:rPr>
        <w:fldChar w:fldCharType="begin"/>
      </w:r>
      <w:r>
        <w:rPr>
          <w:noProof/>
        </w:rPr>
        <w:instrText xml:space="preserve"> PAGEREF _Toc73081442 \h </w:instrText>
      </w:r>
      <w:r>
        <w:rPr>
          <w:noProof/>
          <w:color w:val="2B579A"/>
          <w:shd w:val="clear" w:color="auto" w:fill="E6E6E6"/>
        </w:rPr>
      </w:r>
      <w:r>
        <w:rPr>
          <w:noProof/>
          <w:color w:val="2B579A"/>
          <w:shd w:val="clear" w:color="auto" w:fill="E6E6E6"/>
        </w:rPr>
        <w:fldChar w:fldCharType="separate"/>
      </w:r>
      <w:r w:rsidR="005A77F2">
        <w:rPr>
          <w:noProof/>
        </w:rPr>
        <w:t>29</w:t>
      </w:r>
      <w:r>
        <w:rPr>
          <w:noProof/>
          <w:color w:val="2B579A"/>
          <w:shd w:val="clear" w:color="auto" w:fill="E6E6E6"/>
        </w:rPr>
        <w:fldChar w:fldCharType="end"/>
      </w:r>
    </w:p>
    <w:p w14:paraId="4AB9AFE8" w14:textId="3B5C3BAC" w:rsidR="00C20333" w:rsidRDefault="00C20333">
      <w:pPr>
        <w:pStyle w:val="TOC1"/>
        <w:tabs>
          <w:tab w:val="right" w:leader="dot" w:pos="9350"/>
        </w:tabs>
        <w:rPr>
          <w:rFonts w:eastAsiaTheme="minorEastAsia"/>
          <w:noProof/>
        </w:rPr>
      </w:pPr>
      <w:r>
        <w:rPr>
          <w:noProof/>
        </w:rPr>
        <w:t>Table 6 – Goals Summary</w:t>
      </w:r>
      <w:r>
        <w:rPr>
          <w:noProof/>
        </w:rPr>
        <w:tab/>
      </w:r>
      <w:r>
        <w:rPr>
          <w:noProof/>
          <w:color w:val="2B579A"/>
          <w:shd w:val="clear" w:color="auto" w:fill="E6E6E6"/>
        </w:rPr>
        <w:fldChar w:fldCharType="begin"/>
      </w:r>
      <w:r>
        <w:rPr>
          <w:noProof/>
        </w:rPr>
        <w:instrText xml:space="preserve"> PAGEREF _Toc73081443 \h </w:instrText>
      </w:r>
      <w:r>
        <w:rPr>
          <w:noProof/>
          <w:color w:val="2B579A"/>
          <w:shd w:val="clear" w:color="auto" w:fill="E6E6E6"/>
        </w:rPr>
      </w:r>
      <w:r>
        <w:rPr>
          <w:noProof/>
          <w:color w:val="2B579A"/>
          <w:shd w:val="clear" w:color="auto" w:fill="E6E6E6"/>
        </w:rPr>
        <w:fldChar w:fldCharType="separate"/>
      </w:r>
      <w:r w:rsidR="005A77F2">
        <w:rPr>
          <w:noProof/>
        </w:rPr>
        <w:t>33</w:t>
      </w:r>
      <w:r>
        <w:rPr>
          <w:noProof/>
          <w:color w:val="2B579A"/>
          <w:shd w:val="clear" w:color="auto" w:fill="E6E6E6"/>
        </w:rPr>
        <w:fldChar w:fldCharType="end"/>
      </w:r>
    </w:p>
    <w:p w14:paraId="509E298D" w14:textId="5C6A12EB" w:rsidR="00C20333" w:rsidRDefault="00C20333">
      <w:pPr>
        <w:pStyle w:val="TOC1"/>
        <w:tabs>
          <w:tab w:val="right" w:leader="dot" w:pos="9350"/>
        </w:tabs>
        <w:rPr>
          <w:rFonts w:eastAsiaTheme="minorEastAsia"/>
          <w:noProof/>
        </w:rPr>
      </w:pPr>
      <w:r>
        <w:rPr>
          <w:noProof/>
        </w:rPr>
        <w:lastRenderedPageBreak/>
        <w:t>Table 7 – Funding Allocation Priorities</w:t>
      </w:r>
      <w:r>
        <w:rPr>
          <w:noProof/>
        </w:rPr>
        <w:tab/>
      </w:r>
      <w:r>
        <w:rPr>
          <w:noProof/>
          <w:color w:val="2B579A"/>
          <w:shd w:val="clear" w:color="auto" w:fill="E6E6E6"/>
        </w:rPr>
        <w:fldChar w:fldCharType="begin"/>
      </w:r>
      <w:r>
        <w:rPr>
          <w:noProof/>
        </w:rPr>
        <w:instrText xml:space="preserve"> PAGEREF _Toc73081444 \h </w:instrText>
      </w:r>
      <w:r>
        <w:rPr>
          <w:noProof/>
          <w:color w:val="2B579A"/>
          <w:shd w:val="clear" w:color="auto" w:fill="E6E6E6"/>
        </w:rPr>
      </w:r>
      <w:r>
        <w:rPr>
          <w:noProof/>
          <w:color w:val="2B579A"/>
          <w:shd w:val="clear" w:color="auto" w:fill="E6E6E6"/>
        </w:rPr>
        <w:fldChar w:fldCharType="separate"/>
      </w:r>
      <w:r w:rsidR="005A77F2">
        <w:rPr>
          <w:noProof/>
        </w:rPr>
        <w:t>36</w:t>
      </w:r>
      <w:r>
        <w:rPr>
          <w:noProof/>
          <w:color w:val="2B579A"/>
          <w:shd w:val="clear" w:color="auto" w:fill="E6E6E6"/>
        </w:rPr>
        <w:fldChar w:fldCharType="end"/>
      </w:r>
    </w:p>
    <w:p w14:paraId="5EACF0FE" w14:textId="6C64AE9D" w:rsidR="00C20333" w:rsidRDefault="00C20333">
      <w:pPr>
        <w:pStyle w:val="TOC1"/>
        <w:tabs>
          <w:tab w:val="right" w:leader="dot" w:pos="9350"/>
        </w:tabs>
        <w:rPr>
          <w:rFonts w:eastAsiaTheme="minorEastAsia"/>
          <w:noProof/>
        </w:rPr>
      </w:pPr>
      <w:r>
        <w:rPr>
          <w:noProof/>
        </w:rPr>
        <w:t>Table AP-1 – CDBG Affordable Housing Development and Rehabilitation Ranking Criteria</w:t>
      </w:r>
      <w:r>
        <w:rPr>
          <w:noProof/>
        </w:rPr>
        <w:tab/>
      </w:r>
      <w:r>
        <w:rPr>
          <w:noProof/>
          <w:color w:val="2B579A"/>
          <w:shd w:val="clear" w:color="auto" w:fill="E6E6E6"/>
        </w:rPr>
        <w:fldChar w:fldCharType="begin"/>
      </w:r>
      <w:r>
        <w:rPr>
          <w:noProof/>
        </w:rPr>
        <w:instrText xml:space="preserve"> PAGEREF _Toc73081445 \h </w:instrText>
      </w:r>
      <w:r>
        <w:rPr>
          <w:noProof/>
          <w:color w:val="2B579A"/>
          <w:shd w:val="clear" w:color="auto" w:fill="E6E6E6"/>
        </w:rPr>
      </w:r>
      <w:r>
        <w:rPr>
          <w:noProof/>
          <w:color w:val="2B579A"/>
          <w:shd w:val="clear" w:color="auto" w:fill="E6E6E6"/>
        </w:rPr>
        <w:fldChar w:fldCharType="separate"/>
      </w:r>
      <w:r w:rsidR="005A77F2">
        <w:rPr>
          <w:noProof/>
        </w:rPr>
        <w:t>40</w:t>
      </w:r>
      <w:r>
        <w:rPr>
          <w:noProof/>
          <w:color w:val="2B579A"/>
          <w:shd w:val="clear" w:color="auto" w:fill="E6E6E6"/>
        </w:rPr>
        <w:fldChar w:fldCharType="end"/>
      </w:r>
    </w:p>
    <w:p w14:paraId="2BA63A42" w14:textId="6D8BB6CB" w:rsidR="00C20333" w:rsidRDefault="00C20333">
      <w:pPr>
        <w:pStyle w:val="TOC1"/>
        <w:tabs>
          <w:tab w:val="right" w:leader="dot" w:pos="9350"/>
        </w:tabs>
        <w:rPr>
          <w:rFonts w:eastAsiaTheme="minorEastAsia"/>
          <w:noProof/>
        </w:rPr>
      </w:pPr>
      <w:r>
        <w:rPr>
          <w:noProof/>
        </w:rPr>
        <w:t>Table AP-2 – CDBG Public and Community Facilities Ranking Criteria</w:t>
      </w:r>
      <w:r>
        <w:rPr>
          <w:noProof/>
        </w:rPr>
        <w:tab/>
      </w:r>
      <w:r>
        <w:rPr>
          <w:noProof/>
          <w:color w:val="2B579A"/>
          <w:shd w:val="clear" w:color="auto" w:fill="E6E6E6"/>
        </w:rPr>
        <w:fldChar w:fldCharType="begin"/>
      </w:r>
      <w:r>
        <w:rPr>
          <w:noProof/>
        </w:rPr>
        <w:instrText xml:space="preserve"> PAGEREF _Toc73081446 \h </w:instrText>
      </w:r>
      <w:r>
        <w:rPr>
          <w:noProof/>
          <w:color w:val="2B579A"/>
          <w:shd w:val="clear" w:color="auto" w:fill="E6E6E6"/>
        </w:rPr>
      </w:r>
      <w:r>
        <w:rPr>
          <w:noProof/>
          <w:color w:val="2B579A"/>
          <w:shd w:val="clear" w:color="auto" w:fill="E6E6E6"/>
        </w:rPr>
        <w:fldChar w:fldCharType="separate"/>
      </w:r>
      <w:r w:rsidR="005A77F2">
        <w:rPr>
          <w:noProof/>
        </w:rPr>
        <w:t>41</w:t>
      </w:r>
      <w:r>
        <w:rPr>
          <w:noProof/>
          <w:color w:val="2B579A"/>
          <w:shd w:val="clear" w:color="auto" w:fill="E6E6E6"/>
        </w:rPr>
        <w:fldChar w:fldCharType="end"/>
      </w:r>
    </w:p>
    <w:p w14:paraId="2315C4BA" w14:textId="23F06A08" w:rsidR="00C20333" w:rsidRDefault="00C20333">
      <w:pPr>
        <w:pStyle w:val="TOC1"/>
        <w:tabs>
          <w:tab w:val="right" w:leader="dot" w:pos="9350"/>
        </w:tabs>
        <w:rPr>
          <w:rFonts w:eastAsiaTheme="minorEastAsia"/>
          <w:noProof/>
        </w:rPr>
      </w:pPr>
      <w:r>
        <w:rPr>
          <w:noProof/>
        </w:rPr>
        <w:t>Table AP-3 – 2020 and 2021 HOME Purchase Price Limits</w:t>
      </w:r>
      <w:r>
        <w:rPr>
          <w:noProof/>
        </w:rPr>
        <w:tab/>
      </w:r>
      <w:r>
        <w:rPr>
          <w:noProof/>
          <w:color w:val="2B579A"/>
          <w:shd w:val="clear" w:color="auto" w:fill="E6E6E6"/>
        </w:rPr>
        <w:fldChar w:fldCharType="begin"/>
      </w:r>
      <w:r>
        <w:rPr>
          <w:noProof/>
        </w:rPr>
        <w:instrText xml:space="preserve"> PAGEREF _Toc73081447 \h </w:instrText>
      </w:r>
      <w:r>
        <w:rPr>
          <w:noProof/>
          <w:color w:val="2B579A"/>
          <w:shd w:val="clear" w:color="auto" w:fill="E6E6E6"/>
        </w:rPr>
      </w:r>
      <w:r>
        <w:rPr>
          <w:noProof/>
          <w:color w:val="2B579A"/>
          <w:shd w:val="clear" w:color="auto" w:fill="E6E6E6"/>
        </w:rPr>
        <w:fldChar w:fldCharType="separate"/>
      </w:r>
      <w:r w:rsidR="005A77F2">
        <w:rPr>
          <w:noProof/>
        </w:rPr>
        <w:t>44</w:t>
      </w:r>
      <w:r>
        <w:rPr>
          <w:noProof/>
          <w:color w:val="2B579A"/>
          <w:shd w:val="clear" w:color="auto" w:fill="E6E6E6"/>
        </w:rPr>
        <w:fldChar w:fldCharType="end"/>
      </w:r>
    </w:p>
    <w:p w14:paraId="1528E9BE" w14:textId="5920781E" w:rsidR="00C20333" w:rsidRDefault="00C20333">
      <w:pPr>
        <w:pStyle w:val="TOC1"/>
        <w:tabs>
          <w:tab w:val="right" w:leader="dot" w:pos="9350"/>
        </w:tabs>
        <w:rPr>
          <w:rFonts w:eastAsiaTheme="minorEastAsia"/>
          <w:noProof/>
        </w:rPr>
      </w:pPr>
      <w:r>
        <w:rPr>
          <w:noProof/>
        </w:rPr>
        <w:t>Table 9 – Project Information</w:t>
      </w:r>
      <w:r>
        <w:rPr>
          <w:noProof/>
        </w:rPr>
        <w:tab/>
      </w:r>
      <w:r>
        <w:rPr>
          <w:noProof/>
          <w:color w:val="2B579A"/>
          <w:shd w:val="clear" w:color="auto" w:fill="E6E6E6"/>
        </w:rPr>
        <w:fldChar w:fldCharType="begin"/>
      </w:r>
      <w:r>
        <w:rPr>
          <w:noProof/>
        </w:rPr>
        <w:instrText xml:space="preserve"> PAGEREF _Toc73081448 \h </w:instrText>
      </w:r>
      <w:r>
        <w:rPr>
          <w:noProof/>
          <w:color w:val="2B579A"/>
          <w:shd w:val="clear" w:color="auto" w:fill="E6E6E6"/>
        </w:rPr>
      </w:r>
      <w:r>
        <w:rPr>
          <w:noProof/>
          <w:color w:val="2B579A"/>
          <w:shd w:val="clear" w:color="auto" w:fill="E6E6E6"/>
        </w:rPr>
        <w:fldChar w:fldCharType="separate"/>
      </w:r>
      <w:r w:rsidR="005A77F2">
        <w:rPr>
          <w:noProof/>
        </w:rPr>
        <w:t>49</w:t>
      </w:r>
      <w:r>
        <w:rPr>
          <w:noProof/>
          <w:color w:val="2B579A"/>
          <w:shd w:val="clear" w:color="auto" w:fill="E6E6E6"/>
        </w:rPr>
        <w:fldChar w:fldCharType="end"/>
      </w:r>
    </w:p>
    <w:p w14:paraId="5D9BCD27" w14:textId="4DACEE1D" w:rsidR="00C20333" w:rsidRDefault="00C20333">
      <w:pPr>
        <w:pStyle w:val="TOC1"/>
        <w:tabs>
          <w:tab w:val="right" w:leader="dot" w:pos="9350"/>
        </w:tabs>
        <w:rPr>
          <w:rFonts w:eastAsiaTheme="minorEastAsia"/>
          <w:noProof/>
        </w:rPr>
      </w:pPr>
      <w:r>
        <w:rPr>
          <w:noProof/>
        </w:rPr>
        <w:t>Table 10 – Geographic Distribution</w:t>
      </w:r>
      <w:r>
        <w:rPr>
          <w:noProof/>
        </w:rPr>
        <w:tab/>
      </w:r>
      <w:r>
        <w:rPr>
          <w:noProof/>
          <w:color w:val="2B579A"/>
          <w:shd w:val="clear" w:color="auto" w:fill="E6E6E6"/>
        </w:rPr>
        <w:fldChar w:fldCharType="begin"/>
      </w:r>
      <w:r>
        <w:rPr>
          <w:noProof/>
        </w:rPr>
        <w:instrText xml:space="preserve"> PAGEREF _Toc73081449 \h </w:instrText>
      </w:r>
      <w:r>
        <w:rPr>
          <w:noProof/>
          <w:color w:val="2B579A"/>
          <w:shd w:val="clear" w:color="auto" w:fill="E6E6E6"/>
        </w:rPr>
      </w:r>
      <w:r>
        <w:rPr>
          <w:noProof/>
          <w:color w:val="2B579A"/>
          <w:shd w:val="clear" w:color="auto" w:fill="E6E6E6"/>
        </w:rPr>
        <w:fldChar w:fldCharType="separate"/>
      </w:r>
      <w:r w:rsidR="005A77F2">
        <w:rPr>
          <w:noProof/>
        </w:rPr>
        <w:t>51</w:t>
      </w:r>
      <w:r>
        <w:rPr>
          <w:noProof/>
          <w:color w:val="2B579A"/>
          <w:shd w:val="clear" w:color="auto" w:fill="E6E6E6"/>
        </w:rPr>
        <w:fldChar w:fldCharType="end"/>
      </w:r>
    </w:p>
    <w:p w14:paraId="3D1A34AC" w14:textId="7E37B8DB" w:rsidR="00C20333" w:rsidRDefault="00C20333">
      <w:pPr>
        <w:pStyle w:val="TOC1"/>
        <w:tabs>
          <w:tab w:val="right" w:leader="dot" w:pos="9350"/>
        </w:tabs>
        <w:rPr>
          <w:rFonts w:eastAsiaTheme="minorEastAsia"/>
          <w:noProof/>
        </w:rPr>
      </w:pPr>
      <w:r>
        <w:rPr>
          <w:noProof/>
        </w:rPr>
        <w:t>Table 11 – 1-Year Goals for Affordable Housing by Support Requirement</w:t>
      </w:r>
      <w:r>
        <w:rPr>
          <w:noProof/>
        </w:rPr>
        <w:tab/>
      </w:r>
      <w:r>
        <w:rPr>
          <w:noProof/>
          <w:color w:val="2B579A"/>
          <w:shd w:val="clear" w:color="auto" w:fill="E6E6E6"/>
        </w:rPr>
        <w:fldChar w:fldCharType="begin"/>
      </w:r>
      <w:r>
        <w:rPr>
          <w:noProof/>
        </w:rPr>
        <w:instrText xml:space="preserve"> PAGEREF _Toc73081450 \h </w:instrText>
      </w:r>
      <w:r>
        <w:rPr>
          <w:noProof/>
          <w:color w:val="2B579A"/>
          <w:shd w:val="clear" w:color="auto" w:fill="E6E6E6"/>
        </w:rPr>
      </w:r>
      <w:r>
        <w:rPr>
          <w:noProof/>
          <w:color w:val="2B579A"/>
          <w:shd w:val="clear" w:color="auto" w:fill="E6E6E6"/>
        </w:rPr>
        <w:fldChar w:fldCharType="separate"/>
      </w:r>
      <w:r w:rsidR="005A77F2">
        <w:rPr>
          <w:noProof/>
        </w:rPr>
        <w:t>51</w:t>
      </w:r>
      <w:r>
        <w:rPr>
          <w:noProof/>
          <w:color w:val="2B579A"/>
          <w:shd w:val="clear" w:color="auto" w:fill="E6E6E6"/>
        </w:rPr>
        <w:fldChar w:fldCharType="end"/>
      </w:r>
    </w:p>
    <w:p w14:paraId="31638CB7" w14:textId="3ABBA019" w:rsidR="00C20333" w:rsidRDefault="00C20333">
      <w:pPr>
        <w:pStyle w:val="TOC1"/>
        <w:tabs>
          <w:tab w:val="right" w:leader="dot" w:pos="9350"/>
        </w:tabs>
        <w:rPr>
          <w:rFonts w:eastAsiaTheme="minorEastAsia"/>
          <w:noProof/>
        </w:rPr>
      </w:pPr>
      <w:r>
        <w:rPr>
          <w:noProof/>
        </w:rPr>
        <w:t>Table 12 – 1-Year Goals for Affordable Housing by Support Type</w:t>
      </w:r>
      <w:r>
        <w:rPr>
          <w:noProof/>
        </w:rPr>
        <w:tab/>
      </w:r>
      <w:r>
        <w:rPr>
          <w:noProof/>
          <w:color w:val="2B579A"/>
          <w:shd w:val="clear" w:color="auto" w:fill="E6E6E6"/>
        </w:rPr>
        <w:fldChar w:fldCharType="begin"/>
      </w:r>
      <w:r>
        <w:rPr>
          <w:noProof/>
        </w:rPr>
        <w:instrText xml:space="preserve"> PAGEREF _Toc73081451 \h </w:instrText>
      </w:r>
      <w:r>
        <w:rPr>
          <w:noProof/>
          <w:color w:val="2B579A"/>
          <w:shd w:val="clear" w:color="auto" w:fill="E6E6E6"/>
        </w:rPr>
      </w:r>
      <w:r>
        <w:rPr>
          <w:noProof/>
          <w:color w:val="2B579A"/>
          <w:shd w:val="clear" w:color="auto" w:fill="E6E6E6"/>
        </w:rPr>
        <w:fldChar w:fldCharType="separate"/>
      </w:r>
      <w:r w:rsidR="005A77F2">
        <w:rPr>
          <w:noProof/>
        </w:rPr>
        <w:t>51</w:t>
      </w:r>
      <w:r>
        <w:rPr>
          <w:noProof/>
          <w:color w:val="2B579A"/>
          <w:shd w:val="clear" w:color="auto" w:fill="E6E6E6"/>
        </w:rPr>
        <w:fldChar w:fldCharType="end"/>
      </w:r>
    </w:p>
    <w:p w14:paraId="531A2757" w14:textId="4AF9A058" w:rsidR="00C20333" w:rsidRDefault="00C20333">
      <w:pPr>
        <w:pStyle w:val="TOC1"/>
        <w:tabs>
          <w:tab w:val="right" w:leader="dot" w:pos="9350"/>
        </w:tabs>
        <w:rPr>
          <w:rFonts w:eastAsiaTheme="minorEastAsia"/>
          <w:noProof/>
        </w:rPr>
      </w:pPr>
      <w:r>
        <w:rPr>
          <w:noProof/>
        </w:rPr>
        <w:t>Table AP-4 – HOME Affordability Periods</w:t>
      </w:r>
      <w:r>
        <w:rPr>
          <w:noProof/>
        </w:rPr>
        <w:tab/>
      </w:r>
      <w:r>
        <w:rPr>
          <w:noProof/>
          <w:color w:val="2B579A"/>
          <w:shd w:val="clear" w:color="auto" w:fill="E6E6E6"/>
        </w:rPr>
        <w:fldChar w:fldCharType="begin"/>
      </w:r>
      <w:r>
        <w:rPr>
          <w:noProof/>
        </w:rPr>
        <w:instrText xml:space="preserve"> PAGEREF _Toc73081452 \h </w:instrText>
      </w:r>
      <w:r>
        <w:rPr>
          <w:noProof/>
          <w:color w:val="2B579A"/>
          <w:shd w:val="clear" w:color="auto" w:fill="E6E6E6"/>
        </w:rPr>
      </w:r>
      <w:r>
        <w:rPr>
          <w:noProof/>
          <w:color w:val="2B579A"/>
          <w:shd w:val="clear" w:color="auto" w:fill="E6E6E6"/>
        </w:rPr>
        <w:fldChar w:fldCharType="separate"/>
      </w:r>
      <w:r w:rsidR="005A77F2">
        <w:rPr>
          <w:noProof/>
        </w:rPr>
        <w:t>62</w:t>
      </w:r>
      <w:r>
        <w:rPr>
          <w:noProof/>
          <w:color w:val="2B579A"/>
          <w:shd w:val="clear" w:color="auto" w:fill="E6E6E6"/>
        </w:rPr>
        <w:fldChar w:fldCharType="end"/>
      </w:r>
    </w:p>
    <w:p w14:paraId="2D640CCC" w14:textId="658931D3" w:rsidR="00C20333" w:rsidRDefault="00C20333">
      <w:pPr>
        <w:pStyle w:val="TOC1"/>
        <w:tabs>
          <w:tab w:val="right" w:leader="dot" w:pos="9350"/>
        </w:tabs>
        <w:rPr>
          <w:rFonts w:eastAsiaTheme="minorEastAsia"/>
          <w:noProof/>
        </w:rPr>
      </w:pPr>
      <w:r>
        <w:rPr>
          <w:noProof/>
        </w:rPr>
        <w:t>Table AP-5 – HOME and HTF Maximum per Unit Subsidies</w:t>
      </w:r>
      <w:r>
        <w:rPr>
          <w:noProof/>
        </w:rPr>
        <w:tab/>
      </w:r>
      <w:r>
        <w:rPr>
          <w:noProof/>
          <w:color w:val="2B579A"/>
          <w:shd w:val="clear" w:color="auto" w:fill="E6E6E6"/>
        </w:rPr>
        <w:fldChar w:fldCharType="begin"/>
      </w:r>
      <w:r>
        <w:rPr>
          <w:noProof/>
        </w:rPr>
        <w:instrText xml:space="preserve"> PAGEREF _Toc73081453 \h </w:instrText>
      </w:r>
      <w:r>
        <w:rPr>
          <w:noProof/>
          <w:color w:val="2B579A"/>
          <w:shd w:val="clear" w:color="auto" w:fill="E6E6E6"/>
        </w:rPr>
      </w:r>
      <w:r>
        <w:rPr>
          <w:noProof/>
          <w:color w:val="2B579A"/>
          <w:shd w:val="clear" w:color="auto" w:fill="E6E6E6"/>
        </w:rPr>
        <w:fldChar w:fldCharType="separate"/>
      </w:r>
      <w:r w:rsidR="005A77F2">
        <w:rPr>
          <w:noProof/>
        </w:rPr>
        <w:t>72</w:t>
      </w:r>
      <w:r>
        <w:rPr>
          <w:noProof/>
          <w:color w:val="2B579A"/>
          <w:shd w:val="clear" w:color="auto" w:fill="E6E6E6"/>
        </w:rPr>
        <w:fldChar w:fldCharType="end"/>
      </w:r>
    </w:p>
    <w:p w14:paraId="5DBDDA15" w14:textId="15265D37" w:rsidR="00762C5C" w:rsidRDefault="00C20333" w:rsidP="006A08DB">
      <w:pPr>
        <w:spacing w:after="160" w:line="259" w:lineRule="auto"/>
        <w:sectPr w:rsidR="00762C5C" w:rsidSect="00007697">
          <w:headerReference w:type="default" r:id="rId16"/>
          <w:footerReference w:type="default" r:id="rId17"/>
          <w:pgSz w:w="12240" w:h="15840"/>
          <w:pgMar w:top="1296" w:right="1440" w:bottom="1440" w:left="1440" w:header="720" w:footer="720" w:gutter="0"/>
          <w:pgNumType w:fmt="lowerRoman" w:start="1"/>
          <w:cols w:space="720"/>
          <w:docGrid w:linePitch="360"/>
        </w:sectPr>
      </w:pPr>
      <w:r>
        <w:rPr>
          <w:color w:val="2B579A"/>
          <w:shd w:val="clear" w:color="auto" w:fill="E6E6E6"/>
        </w:rPr>
        <w:fldChar w:fldCharType="end"/>
      </w:r>
    </w:p>
    <w:p w14:paraId="1BCCE502" w14:textId="50AC8DDE" w:rsidR="007E5BF0" w:rsidRPr="003747A4" w:rsidRDefault="001F1F7B" w:rsidP="003747A4">
      <w:pPr>
        <w:pStyle w:val="Heading1"/>
      </w:pPr>
      <w:bookmarkStart w:id="9" w:name="_Toc72413484"/>
      <w:bookmarkEnd w:id="0"/>
      <w:bookmarkEnd w:id="1"/>
      <w:r>
        <w:lastRenderedPageBreak/>
        <w:t xml:space="preserve">The </w:t>
      </w:r>
      <w:r w:rsidR="00FA5C4D" w:rsidRPr="003747A4">
        <w:t>Process</w:t>
      </w:r>
      <w:bookmarkEnd w:id="9"/>
    </w:p>
    <w:p w14:paraId="514E2C3F" w14:textId="7F9A3580" w:rsidR="00FA5C4D" w:rsidRPr="003747A4" w:rsidRDefault="00FA5C4D" w:rsidP="003747A4">
      <w:pPr>
        <w:pStyle w:val="Heading2"/>
      </w:pPr>
      <w:bookmarkStart w:id="10" w:name="_Toc72413485"/>
      <w:bookmarkStart w:id="11" w:name="_Toc70505034"/>
      <w:r w:rsidRPr="003747A4">
        <w:t>AP-05 Executive Summary – 91.300(c), 91.320(b)</w:t>
      </w:r>
      <w:bookmarkEnd w:id="10"/>
    </w:p>
    <w:p w14:paraId="3C723C28" w14:textId="48AD7FE6" w:rsidR="00FA5C4D" w:rsidRDefault="000A6F75" w:rsidP="00FA5C4D">
      <w:pPr>
        <w:pStyle w:val="Heading3"/>
      </w:pPr>
      <w:r>
        <w:t xml:space="preserve">1. </w:t>
      </w:r>
      <w:r w:rsidR="00FA5C4D">
        <w:t>Introduction</w:t>
      </w:r>
    </w:p>
    <w:p w14:paraId="1EAF1670" w14:textId="2880E023" w:rsidR="006A08DB" w:rsidRDefault="006A08DB" w:rsidP="006A08DB">
      <w:r>
        <w:t xml:space="preserve">The State of Montana’s </w:t>
      </w:r>
      <w:r w:rsidR="006216A8">
        <w:t>2024-2025</w:t>
      </w:r>
      <w:r>
        <w:t xml:space="preserve"> Annual Action Plan</w:t>
      </w:r>
      <w:r w:rsidR="00B363CC">
        <w:t xml:space="preserve"> (AAP)</w:t>
      </w:r>
      <w:r>
        <w:t xml:space="preserve"> serves as the application to the U.S. Department of Housing and Urban Development (HUD) for funding of the Community Development Block Grant (CDBG), HOME Investment Partnerships </w:t>
      </w:r>
      <w:r w:rsidR="34FAF868">
        <w:t xml:space="preserve">Program </w:t>
      </w:r>
      <w:r>
        <w:t xml:space="preserve">(HOME), Emergency Solutions Grant (ESG), and National Housing Trust Fund (HTF) for Plan Year </w:t>
      </w:r>
      <w:r w:rsidR="006216A8">
        <w:t xml:space="preserve">5 </w:t>
      </w:r>
      <w:r>
        <w:t xml:space="preserve">of the 2020-2024 Montana Consolidated Plan for Housing and Community Development (2020-2024 Consolidated Plan). The </w:t>
      </w:r>
      <w:r w:rsidR="006216A8">
        <w:t>2024-2025</w:t>
      </w:r>
      <w:r>
        <w:t xml:space="preserve"> </w:t>
      </w:r>
      <w:r w:rsidR="00B363CC">
        <w:t xml:space="preserve">AAP </w:t>
      </w:r>
      <w:r>
        <w:t xml:space="preserve">and 2020-2024 Consolidated Plan comprehensively fulfill three basic goals in Montana: provide decent housing, provide suitable living environments, and expand economic opportunities. </w:t>
      </w:r>
    </w:p>
    <w:p w14:paraId="33FF660A" w14:textId="77777777" w:rsidR="006A08DB" w:rsidRDefault="006A08DB" w:rsidP="006A08DB"/>
    <w:p w14:paraId="14144F6D" w14:textId="62075EA4" w:rsidR="00256E32" w:rsidRPr="006A08DB" w:rsidRDefault="006A08DB" w:rsidP="006A08DB">
      <w:r>
        <w:t xml:space="preserve">The </w:t>
      </w:r>
      <w:r w:rsidR="006216A8">
        <w:t>2024-2025</w:t>
      </w:r>
      <w:r w:rsidR="0089236E">
        <w:t xml:space="preserve"> </w:t>
      </w:r>
      <w:r w:rsidR="00B363CC">
        <w:t>AAP</w:t>
      </w:r>
      <w:r>
        <w:t xml:space="preserve"> describes to HUD any changes or trends in Montana’s housing, homeless populations, special needs populations, community development, and economic development needs during the period since the submission of the </w:t>
      </w:r>
      <w:r w:rsidR="0089236E">
        <w:t>2020-2024</w:t>
      </w:r>
      <w:r>
        <w:t xml:space="preserve"> Consolidated Plan. The </w:t>
      </w:r>
      <w:r w:rsidR="006216A8">
        <w:t>2024-2025</w:t>
      </w:r>
      <w:r w:rsidR="00B363CC">
        <w:t xml:space="preserve"> AAP</w:t>
      </w:r>
      <w:r>
        <w:t xml:space="preserve"> also summarizes the actions Montana will take to support the strategic goals identified in the Consolidated Plan during Plan Year </w:t>
      </w:r>
      <w:r w:rsidR="006216A8">
        <w:t>5</w:t>
      </w:r>
      <w:r>
        <w:t xml:space="preserve">, from April 1, </w:t>
      </w:r>
      <w:r w:rsidR="006216A8">
        <w:t>2024</w:t>
      </w:r>
      <w:r>
        <w:t xml:space="preserve">, through March 31, </w:t>
      </w:r>
      <w:r w:rsidR="006216A8">
        <w:t>2025</w:t>
      </w:r>
      <w:r>
        <w:t>.</w:t>
      </w:r>
    </w:p>
    <w:p w14:paraId="55E4D682" w14:textId="77777777" w:rsidR="00FA5C4D" w:rsidRPr="00FA5C4D" w:rsidRDefault="00FA5C4D" w:rsidP="00FA5C4D"/>
    <w:p w14:paraId="057A8E1F" w14:textId="086F923D" w:rsidR="00FA5C4D" w:rsidRDefault="000A6F75" w:rsidP="00FA5C4D">
      <w:pPr>
        <w:pStyle w:val="Heading3"/>
      </w:pPr>
      <w:r>
        <w:t xml:space="preserve">2. </w:t>
      </w:r>
      <w:r w:rsidR="00FA5C4D">
        <w:t>Summarize the objectives and outcomes identified in the Plan</w:t>
      </w:r>
    </w:p>
    <w:p w14:paraId="502ACC6B" w14:textId="4FC6AF5D" w:rsidR="006A08DB" w:rsidRDefault="006A08DB" w:rsidP="0089236E">
      <w:pPr>
        <w:spacing w:line="276" w:lineRule="auto"/>
        <w:contextualSpacing/>
      </w:pPr>
      <w:r w:rsidRPr="006A08DB">
        <w:t xml:space="preserve">The following list presents the objectives and outcomes of the </w:t>
      </w:r>
      <w:r w:rsidR="0089236E">
        <w:t xml:space="preserve">2020-2024 Consolidated Plan </w:t>
      </w:r>
      <w:r w:rsidRPr="006A08DB">
        <w:t xml:space="preserve">the State of Montana will pursue over Plan Year </w:t>
      </w:r>
      <w:r w:rsidR="006216A8">
        <w:t>5</w:t>
      </w:r>
      <w:r w:rsidRPr="006A08DB">
        <w:t>:</w:t>
      </w:r>
    </w:p>
    <w:p w14:paraId="5A56D7D0" w14:textId="50A23754" w:rsidR="0089236E" w:rsidRDefault="0089236E" w:rsidP="0089236E">
      <w:pPr>
        <w:spacing w:line="276" w:lineRule="auto"/>
        <w:contextualSpacing/>
      </w:pPr>
    </w:p>
    <w:p w14:paraId="570F9B49" w14:textId="77777777" w:rsidR="0089236E" w:rsidRDefault="0089236E" w:rsidP="00CA7256">
      <w:pPr>
        <w:pStyle w:val="ListParagraph"/>
        <w:numPr>
          <w:ilvl w:val="0"/>
          <w:numId w:val="26"/>
        </w:numPr>
      </w:pPr>
      <w:r>
        <w:t>Support existing Montana communities:</w:t>
      </w:r>
    </w:p>
    <w:p w14:paraId="0CC533BD" w14:textId="5DF49094" w:rsidR="0089236E" w:rsidRDefault="0089236E" w:rsidP="00CA7256">
      <w:pPr>
        <w:pStyle w:val="ListParagraph"/>
        <w:numPr>
          <w:ilvl w:val="1"/>
          <w:numId w:val="26"/>
        </w:numPr>
      </w:pPr>
      <w:r>
        <w:t xml:space="preserve">Target funding toward communities to increase their capacity to respond to health, safety, economic, and other needs; strengthen community revitalization efforts; improve the efficiency of public works investments; and safeguard rural landscapes and natural </w:t>
      </w:r>
      <w:proofErr w:type="gramStart"/>
      <w:r>
        <w:t>resources;</w:t>
      </w:r>
      <w:proofErr w:type="gramEnd"/>
    </w:p>
    <w:p w14:paraId="045E8293" w14:textId="6FBB9279" w:rsidR="0089236E" w:rsidRDefault="0089236E" w:rsidP="00CA7256">
      <w:pPr>
        <w:pStyle w:val="ListParagraph"/>
        <w:numPr>
          <w:ilvl w:val="1"/>
          <w:numId w:val="26"/>
        </w:numPr>
      </w:pPr>
      <w:r>
        <w:t xml:space="preserve">Encourage appropriate and comprehensive planning, market studies, preliminary architectural reports, flood prevention plans, and other studies or plans that address health, safety, </w:t>
      </w:r>
      <w:r w:rsidR="003817CE">
        <w:t xml:space="preserve">and </w:t>
      </w:r>
      <w:r>
        <w:t>economic</w:t>
      </w:r>
      <w:r w:rsidR="003817CE">
        <w:t xml:space="preserve"> </w:t>
      </w:r>
      <w:r>
        <w:t xml:space="preserve">concerns as well as support the sustainability of local communities, affordable housing, public works investments, vital employment centers, and the </w:t>
      </w:r>
      <w:proofErr w:type="gramStart"/>
      <w:r>
        <w:t>environment;</w:t>
      </w:r>
      <w:proofErr w:type="gramEnd"/>
    </w:p>
    <w:p w14:paraId="38C3FB9F" w14:textId="77777777" w:rsidR="0089236E" w:rsidRDefault="0089236E" w:rsidP="00CA7256">
      <w:pPr>
        <w:pStyle w:val="ListParagraph"/>
        <w:numPr>
          <w:ilvl w:val="1"/>
          <w:numId w:val="26"/>
        </w:numPr>
      </w:pPr>
      <w:r>
        <w:t xml:space="preserve">Enhance the unique and resilient characteristics of all communities by investing in healthy, safe, and walkable neighborhoods—rural, urban, or </w:t>
      </w:r>
      <w:proofErr w:type="gramStart"/>
      <w:r>
        <w:t>suburban;</w:t>
      </w:r>
      <w:proofErr w:type="gramEnd"/>
    </w:p>
    <w:p w14:paraId="5198E1C5" w14:textId="77777777" w:rsidR="0089236E" w:rsidRDefault="0089236E" w:rsidP="00CA7256">
      <w:pPr>
        <w:pStyle w:val="ListParagraph"/>
        <w:numPr>
          <w:ilvl w:val="1"/>
          <w:numId w:val="26"/>
        </w:numPr>
      </w:pPr>
      <w:r>
        <w:t>Encourage the rehabilitation of existing rental and owner-occupied homes, particularly for those with special needs and the elderly; and</w:t>
      </w:r>
    </w:p>
    <w:p w14:paraId="711A28B1" w14:textId="77777777" w:rsidR="0089236E" w:rsidRDefault="0089236E" w:rsidP="00CA7256">
      <w:pPr>
        <w:pStyle w:val="ListParagraph"/>
        <w:numPr>
          <w:ilvl w:val="1"/>
          <w:numId w:val="26"/>
        </w:numPr>
      </w:pPr>
      <w:r>
        <w:t>Encourage the development and rehabilitation of community facilities and services located within walkable neighborhoods and/or served by public transportation systems, particularly for those with special needs and the elderly.</w:t>
      </w:r>
    </w:p>
    <w:p w14:paraId="1397FE3F" w14:textId="77777777" w:rsidR="0089236E" w:rsidRDefault="0089236E" w:rsidP="0089236E"/>
    <w:p w14:paraId="490178C0" w14:textId="77777777" w:rsidR="0089236E" w:rsidRDefault="0089236E" w:rsidP="00CA7256">
      <w:pPr>
        <w:pStyle w:val="ListParagraph"/>
        <w:numPr>
          <w:ilvl w:val="0"/>
          <w:numId w:val="26"/>
        </w:numPr>
      </w:pPr>
      <w:r>
        <w:t>Invest in vital public infrastructure:</w:t>
      </w:r>
    </w:p>
    <w:p w14:paraId="58822AA0" w14:textId="2CEB0387" w:rsidR="0089236E" w:rsidRDefault="0089236E" w:rsidP="00CA7256">
      <w:pPr>
        <w:pStyle w:val="ListParagraph"/>
        <w:numPr>
          <w:ilvl w:val="1"/>
          <w:numId w:val="26"/>
        </w:numPr>
      </w:pPr>
      <w:r>
        <w:t xml:space="preserve">Provide funding preference for infrastructure projects that address health and safety </w:t>
      </w:r>
      <w:proofErr w:type="gramStart"/>
      <w:r>
        <w:t>concerns;</w:t>
      </w:r>
      <w:proofErr w:type="gramEnd"/>
    </w:p>
    <w:p w14:paraId="14AA23E7" w14:textId="77777777" w:rsidR="0089236E" w:rsidRDefault="0089236E" w:rsidP="00CA7256">
      <w:pPr>
        <w:pStyle w:val="ListParagraph"/>
        <w:numPr>
          <w:ilvl w:val="1"/>
          <w:numId w:val="26"/>
        </w:numPr>
      </w:pPr>
      <w:r>
        <w:t xml:space="preserve">Encourage appropriate and comprehensive pre-development planning activities for public infrastructure, including asset management, needs analysis, preliminary engineering and/or architectural reports, and other studies or </w:t>
      </w:r>
      <w:proofErr w:type="gramStart"/>
      <w:r>
        <w:t>plans;</w:t>
      </w:r>
      <w:proofErr w:type="gramEnd"/>
    </w:p>
    <w:p w14:paraId="5E301E59" w14:textId="77777777" w:rsidR="0089236E" w:rsidRDefault="0089236E" w:rsidP="00CA7256">
      <w:pPr>
        <w:pStyle w:val="ListParagraph"/>
        <w:numPr>
          <w:ilvl w:val="1"/>
          <w:numId w:val="26"/>
        </w:numPr>
      </w:pPr>
      <w:r>
        <w:lastRenderedPageBreak/>
        <w:t>Provide funding opportunities to improve the safety and efficiency of public infrastructure, promote healthy, safe, and walkable neighborhoods, and safeguard the environment; and</w:t>
      </w:r>
    </w:p>
    <w:p w14:paraId="77091678" w14:textId="77777777" w:rsidR="0089236E" w:rsidRDefault="0089236E" w:rsidP="00CA7256">
      <w:pPr>
        <w:pStyle w:val="ListParagraph"/>
        <w:numPr>
          <w:ilvl w:val="1"/>
          <w:numId w:val="26"/>
        </w:numPr>
      </w:pPr>
      <w:r>
        <w:t>Provide funding opportunities to serve eligible Montanans, particularly special needs and elderly populations, with safe, efficient public infrastructure.</w:t>
      </w:r>
    </w:p>
    <w:p w14:paraId="32AFE724" w14:textId="77777777" w:rsidR="0089236E" w:rsidRDefault="0089236E" w:rsidP="0089236E"/>
    <w:p w14:paraId="21431923" w14:textId="77777777" w:rsidR="0089236E" w:rsidRDefault="0089236E" w:rsidP="00CA7256">
      <w:pPr>
        <w:pStyle w:val="ListParagraph"/>
        <w:numPr>
          <w:ilvl w:val="0"/>
          <w:numId w:val="26"/>
        </w:numPr>
      </w:pPr>
      <w:r>
        <w:t>Enhance Montana’s economic competitiveness:</w:t>
      </w:r>
    </w:p>
    <w:p w14:paraId="693B4DE0" w14:textId="462A1183" w:rsidR="0089236E" w:rsidRDefault="0089236E" w:rsidP="00CA7256">
      <w:pPr>
        <w:pStyle w:val="ListParagraph"/>
        <w:numPr>
          <w:ilvl w:val="1"/>
          <w:numId w:val="26"/>
        </w:numPr>
      </w:pPr>
      <w:r>
        <w:t xml:space="preserve">Provide reliable and timely access to educational opportunities, services and other basic needs by workers, as well as expanded business access to </w:t>
      </w:r>
      <w:proofErr w:type="gramStart"/>
      <w:r>
        <w:t>markets;</w:t>
      </w:r>
      <w:proofErr w:type="gramEnd"/>
    </w:p>
    <w:p w14:paraId="232777C6" w14:textId="77777777" w:rsidR="0089236E" w:rsidRDefault="0089236E" w:rsidP="00CA7256">
      <w:pPr>
        <w:pStyle w:val="ListParagraph"/>
        <w:numPr>
          <w:ilvl w:val="1"/>
          <w:numId w:val="26"/>
        </w:numPr>
      </w:pPr>
      <w:r>
        <w:t xml:space="preserve">Support comprehensive planning for downtown revitalization, business development, and other studies or plans to attract and retain talent in Montana </w:t>
      </w:r>
      <w:proofErr w:type="gramStart"/>
      <w:r>
        <w:t>communities;</w:t>
      </w:r>
      <w:proofErr w:type="gramEnd"/>
    </w:p>
    <w:p w14:paraId="3C2AA1E6" w14:textId="77777777" w:rsidR="0089236E" w:rsidRDefault="0089236E" w:rsidP="00CA7256">
      <w:pPr>
        <w:pStyle w:val="ListParagraph"/>
        <w:numPr>
          <w:ilvl w:val="1"/>
          <w:numId w:val="26"/>
        </w:numPr>
      </w:pPr>
      <w:r>
        <w:t xml:space="preserve">Provide job opportunities to eligible Montanans to strengthen communities within the </w:t>
      </w:r>
      <w:proofErr w:type="gramStart"/>
      <w:r>
        <w:t>state;</w:t>
      </w:r>
      <w:proofErr w:type="gramEnd"/>
    </w:p>
    <w:p w14:paraId="4A91CC85" w14:textId="77777777" w:rsidR="0089236E" w:rsidRDefault="0089236E" w:rsidP="00CA7256">
      <w:pPr>
        <w:pStyle w:val="ListParagraph"/>
        <w:numPr>
          <w:ilvl w:val="1"/>
          <w:numId w:val="26"/>
        </w:numPr>
      </w:pPr>
      <w:r>
        <w:t xml:space="preserve">Encourage activities that support and strengthen new and existing businesses, particularly those located within traditional downtown business centers comprising a mix of businesses, housing, and </w:t>
      </w:r>
      <w:proofErr w:type="gramStart"/>
      <w:r>
        <w:t>services;</w:t>
      </w:r>
      <w:proofErr w:type="gramEnd"/>
    </w:p>
    <w:p w14:paraId="565FED98" w14:textId="77777777" w:rsidR="0089236E" w:rsidRDefault="0089236E" w:rsidP="00CA7256">
      <w:pPr>
        <w:pStyle w:val="ListParagraph"/>
        <w:numPr>
          <w:ilvl w:val="1"/>
          <w:numId w:val="26"/>
        </w:numPr>
      </w:pPr>
      <w:r>
        <w:t>Encourage mixed-use development that contributes to broader revitalization efforts in Montana communities; and</w:t>
      </w:r>
    </w:p>
    <w:p w14:paraId="392AD3E9" w14:textId="77777777" w:rsidR="0089236E" w:rsidRDefault="0089236E" w:rsidP="00CA7256">
      <w:pPr>
        <w:pStyle w:val="ListParagraph"/>
        <w:numPr>
          <w:ilvl w:val="1"/>
          <w:numId w:val="26"/>
        </w:numPr>
      </w:pPr>
      <w:r>
        <w:t>Seek opportunities to achieve multiple economic development goals, such as removing barriers to collaboration, leveraging multiple funding sources, and increasing energy efficiency, through a single investment.</w:t>
      </w:r>
    </w:p>
    <w:p w14:paraId="3B105681" w14:textId="77777777" w:rsidR="0089236E" w:rsidRDefault="0089236E" w:rsidP="0089236E"/>
    <w:p w14:paraId="7CD369ED" w14:textId="77777777" w:rsidR="0089236E" w:rsidRDefault="0089236E" w:rsidP="00CA7256">
      <w:pPr>
        <w:pStyle w:val="ListParagraph"/>
        <w:numPr>
          <w:ilvl w:val="0"/>
          <w:numId w:val="26"/>
        </w:numPr>
      </w:pPr>
      <w:r>
        <w:t>Promote equitable, affordable housing in Montana:</w:t>
      </w:r>
    </w:p>
    <w:p w14:paraId="1D347C53" w14:textId="567AE5FC" w:rsidR="0089236E" w:rsidRDefault="0089236E" w:rsidP="00CA7256">
      <w:pPr>
        <w:pStyle w:val="ListParagraph"/>
        <w:numPr>
          <w:ilvl w:val="1"/>
          <w:numId w:val="26"/>
        </w:numPr>
      </w:pPr>
      <w:r>
        <w:t xml:space="preserve">Expand location- and energy-efficient housing choices for people of all ages, incomes, races and ethnicities to increase mobility and lower the combined cost of housing and </w:t>
      </w:r>
      <w:proofErr w:type="gramStart"/>
      <w:r>
        <w:t>transportation;</w:t>
      </w:r>
      <w:proofErr w:type="gramEnd"/>
    </w:p>
    <w:p w14:paraId="0192437D" w14:textId="77777777" w:rsidR="0089236E" w:rsidRDefault="0089236E" w:rsidP="00CA7256">
      <w:pPr>
        <w:pStyle w:val="ListParagraph"/>
        <w:numPr>
          <w:ilvl w:val="1"/>
          <w:numId w:val="26"/>
        </w:numPr>
      </w:pPr>
      <w:r>
        <w:t xml:space="preserve">Encourage housing activities that incorporate energy-efficient design to help advance solar deployment and other onsite renewable energy installations in affordable housing that is aligned with the Federal Renewable Energy </w:t>
      </w:r>
      <w:proofErr w:type="gramStart"/>
      <w:r>
        <w:t>Target;</w:t>
      </w:r>
      <w:proofErr w:type="gramEnd"/>
    </w:p>
    <w:p w14:paraId="6333C2E3" w14:textId="77777777" w:rsidR="0089236E" w:rsidRDefault="0089236E" w:rsidP="00CA7256">
      <w:pPr>
        <w:pStyle w:val="ListParagraph"/>
        <w:numPr>
          <w:ilvl w:val="1"/>
          <w:numId w:val="26"/>
        </w:numPr>
      </w:pPr>
      <w:r>
        <w:t xml:space="preserve">Encourage activities to acquire and/or construct new affordable housing for homeownership or rental in areas where existing investment in infrastructure, facilities, and services leverages multiple economic, environmental, and community </w:t>
      </w:r>
      <w:proofErr w:type="gramStart"/>
      <w:r>
        <w:t>objectives;</w:t>
      </w:r>
      <w:proofErr w:type="gramEnd"/>
    </w:p>
    <w:p w14:paraId="53C86C4F" w14:textId="77777777" w:rsidR="0089236E" w:rsidRDefault="0089236E" w:rsidP="00CA7256">
      <w:pPr>
        <w:pStyle w:val="ListParagraph"/>
        <w:numPr>
          <w:ilvl w:val="1"/>
          <w:numId w:val="26"/>
        </w:numPr>
      </w:pPr>
      <w:r>
        <w:t>Encourage appropriate and comprehensive planning, market studies, preliminary architectural reports, and other studies or plans in support of the efficient construction of affordable housing; and</w:t>
      </w:r>
    </w:p>
    <w:p w14:paraId="4AF002F1" w14:textId="77777777" w:rsidR="0089236E" w:rsidRDefault="0089236E" w:rsidP="00CA7256">
      <w:pPr>
        <w:pStyle w:val="ListParagraph"/>
        <w:numPr>
          <w:ilvl w:val="1"/>
          <w:numId w:val="26"/>
        </w:numPr>
      </w:pPr>
      <w:r>
        <w:t>Encourage financial mechanisms that increase homeownership opportunities and provide rental assistance to eligible Montanans, particularly those with special needs and the elderly.</w:t>
      </w:r>
    </w:p>
    <w:p w14:paraId="74ADB522" w14:textId="77777777" w:rsidR="0089236E" w:rsidRDefault="0089236E" w:rsidP="0089236E"/>
    <w:p w14:paraId="470AD489" w14:textId="77777777" w:rsidR="0089236E" w:rsidRDefault="0089236E" w:rsidP="00CA7256">
      <w:pPr>
        <w:pStyle w:val="ListParagraph"/>
        <w:numPr>
          <w:ilvl w:val="0"/>
          <w:numId w:val="26"/>
        </w:numPr>
      </w:pPr>
      <w:r>
        <w:t>Reduce homelessness in Montana:</w:t>
      </w:r>
    </w:p>
    <w:p w14:paraId="5A7B7CB1" w14:textId="684EB21B" w:rsidR="0089236E" w:rsidRDefault="0089236E" w:rsidP="00CA7256">
      <w:pPr>
        <w:pStyle w:val="ListParagraph"/>
        <w:numPr>
          <w:ilvl w:val="1"/>
          <w:numId w:val="26"/>
        </w:numPr>
      </w:pPr>
      <w:r>
        <w:t xml:space="preserve">Encourage activities that address the housing needs of </w:t>
      </w:r>
      <w:r w:rsidR="004A2226">
        <w:t xml:space="preserve">Montanans who are </w:t>
      </w:r>
      <w:r>
        <w:t xml:space="preserve">homeless and/or those at risk of </w:t>
      </w:r>
      <w:proofErr w:type="gramStart"/>
      <w:r>
        <w:t>homelessness;</w:t>
      </w:r>
      <w:proofErr w:type="gramEnd"/>
    </w:p>
    <w:p w14:paraId="4E6B6DCA" w14:textId="77777777" w:rsidR="0089236E" w:rsidRDefault="0089236E" w:rsidP="00CA7256">
      <w:pPr>
        <w:pStyle w:val="ListParagraph"/>
        <w:numPr>
          <w:ilvl w:val="1"/>
          <w:numId w:val="26"/>
        </w:numPr>
      </w:pPr>
      <w:r>
        <w:t>Encourage activities that increase the level of assistance programs to homeless Montanans and/or those at risk of homelessness, with the goal of achieving stable and sustainable housing; and</w:t>
      </w:r>
    </w:p>
    <w:p w14:paraId="0A5FAFE9" w14:textId="77777777" w:rsidR="0089236E" w:rsidRDefault="0089236E" w:rsidP="00CA7256">
      <w:pPr>
        <w:pStyle w:val="ListParagraph"/>
        <w:numPr>
          <w:ilvl w:val="1"/>
          <w:numId w:val="26"/>
        </w:numPr>
      </w:pPr>
      <w:r>
        <w:t>Encourage the development and rehabilitation of non-rental facilities for the shelter of temporarily homeless Montanans.</w:t>
      </w:r>
    </w:p>
    <w:p w14:paraId="7A317983" w14:textId="77777777" w:rsidR="0089236E" w:rsidRPr="006A08DB" w:rsidRDefault="0089236E" w:rsidP="0089236E">
      <w:pPr>
        <w:spacing w:line="276" w:lineRule="auto"/>
        <w:contextualSpacing/>
      </w:pPr>
    </w:p>
    <w:p w14:paraId="2EDEC808" w14:textId="1DCF0B77" w:rsidR="00FA5C4D" w:rsidRDefault="000A6F75" w:rsidP="00FA5C4D">
      <w:pPr>
        <w:pStyle w:val="Heading3"/>
      </w:pPr>
      <w:r>
        <w:lastRenderedPageBreak/>
        <w:t xml:space="preserve">3. </w:t>
      </w:r>
      <w:r w:rsidR="00FA5C4D">
        <w:t>Evaluation of past performance</w:t>
      </w:r>
    </w:p>
    <w:p w14:paraId="299F009A" w14:textId="7BDB21C8" w:rsidR="0089236E" w:rsidRDefault="7E1A7E52" w:rsidP="0089236E">
      <w:r>
        <w:t>The Montana Departments of Commerce (Commerce) and Public Health and Human Services (DPHHS) have received annual funding for the CDBG, HOME, ESG</w:t>
      </w:r>
      <w:r w:rsidR="3363D333">
        <w:t>,</w:t>
      </w:r>
      <w:r>
        <w:t xml:space="preserve"> </w:t>
      </w:r>
      <w:r w:rsidR="573D90C2">
        <w:t xml:space="preserve">and HTF </w:t>
      </w:r>
      <w:r>
        <w:t xml:space="preserve">programs. </w:t>
      </w:r>
      <w:r w:rsidR="573D90C2">
        <w:t xml:space="preserve"> </w:t>
      </w:r>
      <w:r w:rsidR="0FB85BFE">
        <w:t>While regulatory requir</w:t>
      </w:r>
      <w:r w:rsidR="39CA141B">
        <w:t>e</w:t>
      </w:r>
      <w:r w:rsidR="0FB85BFE">
        <w:t>ments have expanded</w:t>
      </w:r>
      <w:r w:rsidR="001F0AB1">
        <w:t xml:space="preserve"> (including but not limited to the Build America, Buy America Act, HOTMA, NSPIRE, radon mitigation, environmental justice)</w:t>
      </w:r>
      <w:r w:rsidR="0FB85BFE">
        <w:t>, p</w:t>
      </w:r>
      <w:r w:rsidR="573D90C2">
        <w:t>rogram funding has not kept pace with the increased cost of construction or administration, making</w:t>
      </w:r>
      <w:r>
        <w:t xml:space="preserve"> it increasingly difficult to address the needs across the state as programs are oversubscribed for funding. Resources available through these programs are vital to organizations </w:t>
      </w:r>
      <w:r w:rsidR="3536155A">
        <w:t>serving</w:t>
      </w:r>
      <w:r w:rsidR="68AF27AC">
        <w:t xml:space="preserve"> </w:t>
      </w:r>
      <w:r>
        <w:t xml:space="preserve">households at or below 80% of area median income (AMI). As demonstrated in past performance reports, these programs have been a critical funding source for </w:t>
      </w:r>
      <w:r w:rsidR="54FFEFD6">
        <w:t xml:space="preserve">planning for unprecedented growth, </w:t>
      </w:r>
      <w:r>
        <w:t xml:space="preserve">constructing senior and health facilities in rural areas, developing homeless facilities </w:t>
      </w:r>
      <w:r w:rsidR="7C614A2C">
        <w:t xml:space="preserve">and affordable housing </w:t>
      </w:r>
      <w:r>
        <w:t>that provide</w:t>
      </w:r>
      <w:r w:rsidR="1960A6A9">
        <w:t>s</w:t>
      </w:r>
      <w:r>
        <w:t xml:space="preserve"> services and support throughout the state, and providing clean water and sanitary sewer to support the growth of vital, resilient communities across Montana.</w:t>
      </w:r>
    </w:p>
    <w:p w14:paraId="53E6E551" w14:textId="77777777" w:rsidR="0089236E" w:rsidRDefault="0089236E" w:rsidP="0089236E"/>
    <w:p w14:paraId="5BF8384E" w14:textId="4923FF59" w:rsidR="0089236E" w:rsidRDefault="7E1A7E52" w:rsidP="0089236E">
      <w:r>
        <w:t>Commerce evaluate</w:t>
      </w:r>
      <w:r w:rsidR="11E9B32E">
        <w:t>s</w:t>
      </w:r>
      <w:r>
        <w:t xml:space="preserve"> its past performance in Consolidated Annual Performance and Evaluation Reports (CAPER) for each </w:t>
      </w:r>
      <w:r w:rsidR="04533C9C">
        <w:t xml:space="preserve">program </w:t>
      </w:r>
      <w:r>
        <w:t>year</w:t>
      </w:r>
      <w:r w:rsidR="675BC97E">
        <w:t>.</w:t>
      </w:r>
      <w:r>
        <w:t xml:space="preserve"> </w:t>
      </w:r>
      <w:r w:rsidR="3C1485CC">
        <w:t xml:space="preserve">Each CAPER </w:t>
      </w:r>
      <w:r>
        <w:t>documents the objectives and outcomes identified in each AAP and include</w:t>
      </w:r>
      <w:r w:rsidR="03C74B70">
        <w:t>s</w:t>
      </w:r>
      <w:r>
        <w:t xml:space="preserve"> an evaluation of past performance, which compares measurable goals and objectives with actual performance. These documents can be found on Commerce’s website at </w:t>
      </w:r>
      <w:hyperlink r:id="rId18">
        <w:r w:rsidR="2B3CCF13" w:rsidRPr="6BAB5C2E">
          <w:rPr>
            <w:rStyle w:val="Hyperlink"/>
          </w:rPr>
          <w:t>https://commerce.mt.gov/Consolidated-Plan/Documents</w:t>
        </w:r>
      </w:hyperlink>
      <w:r>
        <w:t>.</w:t>
      </w:r>
    </w:p>
    <w:p w14:paraId="2B161CF8" w14:textId="77777777" w:rsidR="006A08DB" w:rsidRPr="00FA5C4D" w:rsidRDefault="006A08DB" w:rsidP="006A08DB"/>
    <w:p w14:paraId="11928099" w14:textId="593CD4AA" w:rsidR="00FA5C4D" w:rsidRDefault="000A6F75" w:rsidP="00FA5C4D">
      <w:pPr>
        <w:pStyle w:val="Heading3"/>
      </w:pPr>
      <w:r>
        <w:t xml:space="preserve">4. </w:t>
      </w:r>
      <w:r w:rsidR="00FA5C4D">
        <w:t xml:space="preserve">Summary of Citizen Participation Process and consultation process </w:t>
      </w:r>
    </w:p>
    <w:p w14:paraId="057C699F" w14:textId="30252095" w:rsidR="0089236E" w:rsidRDefault="0089236E" w:rsidP="0089236E">
      <w:bookmarkStart w:id="12" w:name="_Hlk51605545"/>
      <w:r>
        <w:t>The AAP process provides citizens an opportunity to provide input in the development of the plan and to evaluate and comment on the proposed plan to improve the effectiveness of its covered programs. Montana follow</w:t>
      </w:r>
      <w:r w:rsidR="003817CE">
        <w:t>ed</w:t>
      </w:r>
      <w:r>
        <w:t xml:space="preserve"> the standards set forth in its Citizen Participation Plan (Appendix A</w:t>
      </w:r>
      <w:r w:rsidR="002273C3">
        <w:t xml:space="preserve"> of the</w:t>
      </w:r>
      <w:r w:rsidR="00E24396">
        <w:t xml:space="preserve"> </w:t>
      </w:r>
      <w:r w:rsidR="002D03DA">
        <w:t>2020-2024 Consolidated Plan</w:t>
      </w:r>
      <w:r>
        <w:t xml:space="preserve">) during development and proposal of its </w:t>
      </w:r>
      <w:r w:rsidR="006216A8">
        <w:t>2024</w:t>
      </w:r>
      <w:r w:rsidR="002D03DA">
        <w:t>-</w:t>
      </w:r>
      <w:r w:rsidR="006216A8">
        <w:t xml:space="preserve">2025 </w:t>
      </w:r>
      <w:r w:rsidR="00B363CC">
        <w:t>AAP</w:t>
      </w:r>
      <w:r w:rsidR="002D03DA">
        <w:t xml:space="preserve"> </w:t>
      </w:r>
      <w:r w:rsidR="002273C3">
        <w:t>documents</w:t>
      </w:r>
      <w:r>
        <w:t>.</w:t>
      </w:r>
      <w:bookmarkEnd w:id="12"/>
      <w:r>
        <w:t xml:space="preserve"> </w:t>
      </w:r>
    </w:p>
    <w:p w14:paraId="10ECBADA" w14:textId="77777777" w:rsidR="0089236E" w:rsidRDefault="0089236E" w:rsidP="0089236E"/>
    <w:p w14:paraId="1F3557F9" w14:textId="6B2BAC4F" w:rsidR="00C8391D" w:rsidRDefault="49A359F3" w:rsidP="00C8391D">
      <w:r>
        <w:t xml:space="preserve">Commerce and DPHHS provided multiple opportunities for the public and stakeholders to comment on the creation and development of the </w:t>
      </w:r>
      <w:r w:rsidR="1D0A3A3C">
        <w:t>2024</w:t>
      </w:r>
      <w:r w:rsidR="4030FDC7">
        <w:t>-</w:t>
      </w:r>
      <w:r w:rsidR="1D0A3A3C">
        <w:t xml:space="preserve">2025 </w:t>
      </w:r>
      <w:r w:rsidR="4030FDC7">
        <w:t>AAP</w:t>
      </w:r>
      <w:r>
        <w:t>.</w:t>
      </w:r>
      <w:r w:rsidR="57E85344">
        <w:t xml:space="preserve"> The first public hearing </w:t>
      </w:r>
      <w:r w:rsidR="773277C0">
        <w:t>was held on</w:t>
      </w:r>
      <w:r w:rsidR="774AAA91">
        <w:t xml:space="preserve"> April 3, 2024,</w:t>
      </w:r>
      <w:r w:rsidR="773277C0">
        <w:t xml:space="preserve"> to </w:t>
      </w:r>
      <w:r w:rsidR="6BF71D0A">
        <w:t xml:space="preserve">assess needs, develop a strategy for addressing needs, and </w:t>
      </w:r>
      <w:r w:rsidR="7CE72E22">
        <w:t>solicit</w:t>
      </w:r>
      <w:r w:rsidR="773277C0">
        <w:t xml:space="preserve"> general </w:t>
      </w:r>
      <w:r w:rsidR="5FD510E2">
        <w:t>input</w:t>
      </w:r>
      <w:r w:rsidR="51D1ACA4">
        <w:t>. The second public hearing</w:t>
      </w:r>
      <w:r w:rsidR="23B1B364">
        <w:t xml:space="preserve"> was held on</w:t>
      </w:r>
      <w:r w:rsidR="4797EAB0">
        <w:t xml:space="preserve"> May 29, 2024, </w:t>
      </w:r>
      <w:r w:rsidR="4BF25910">
        <w:t xml:space="preserve">to present the public with the State’s </w:t>
      </w:r>
      <w:r w:rsidR="6C32C1B9">
        <w:t>proposed plan,</w:t>
      </w:r>
      <w:r w:rsidR="4BF25910">
        <w:t xml:space="preserve"> </w:t>
      </w:r>
      <w:r w:rsidR="54C1F0DB">
        <w:t xml:space="preserve">receive comments on the Draft AAP document, and </w:t>
      </w:r>
      <w:r w:rsidR="71E691B6">
        <w:t>gather public comments</w:t>
      </w:r>
      <w:r w:rsidR="23B1B364">
        <w:t>.</w:t>
      </w:r>
      <w:r>
        <w:t xml:space="preserve"> </w:t>
      </w:r>
      <w:r w:rsidR="15A01B32">
        <w:t>Both the initial input period and the document review period</w:t>
      </w:r>
      <w:r w:rsidR="4030FDC7">
        <w:t xml:space="preserve"> for the </w:t>
      </w:r>
      <w:r w:rsidR="3E06F405">
        <w:t>D</w:t>
      </w:r>
      <w:r w:rsidR="4030FDC7">
        <w:t xml:space="preserve">raft </w:t>
      </w:r>
      <w:r w:rsidR="1D0A3A3C">
        <w:t>2024</w:t>
      </w:r>
      <w:r w:rsidR="4030FDC7">
        <w:t>-</w:t>
      </w:r>
      <w:r w:rsidR="1D0A3A3C">
        <w:t xml:space="preserve">2025 </w:t>
      </w:r>
      <w:r w:rsidR="4030FDC7">
        <w:t>AAP w</w:t>
      </w:r>
      <w:r w:rsidR="22E2B0B7">
        <w:t>ere</w:t>
      </w:r>
      <w:r w:rsidR="4030FDC7">
        <w:t xml:space="preserve"> </w:t>
      </w:r>
      <w:r w:rsidR="1AAB80C2">
        <w:t xml:space="preserve">proactively </w:t>
      </w:r>
      <w:r w:rsidR="4030FDC7">
        <w:t xml:space="preserve">advertised. Commerce announced the public meetings </w:t>
      </w:r>
      <w:r w:rsidR="7FB3FE8C">
        <w:t xml:space="preserve">and comment periods </w:t>
      </w:r>
      <w:r w:rsidR="4030FDC7">
        <w:t xml:space="preserve">by emailing notices to approximately 5,000 contacts and publishing </w:t>
      </w:r>
      <w:r w:rsidR="17FC237E">
        <w:t xml:space="preserve">print </w:t>
      </w:r>
      <w:r w:rsidR="4030FDC7">
        <w:t>advertisements in newspapers across Montana. Approximately</w:t>
      </w:r>
      <w:r w:rsidR="001F0AB1">
        <w:t xml:space="preserve"> 20</w:t>
      </w:r>
      <w:r w:rsidR="4D352443">
        <w:t xml:space="preserve"> individuals</w:t>
      </w:r>
      <w:r w:rsidR="4030FDC7">
        <w:t xml:space="preserve"> participated in the public meeting </w:t>
      </w:r>
      <w:r w:rsidR="39732047">
        <w:t xml:space="preserve">on April 3, 2024, </w:t>
      </w:r>
      <w:r w:rsidR="4030FDC7">
        <w:t>via webinar or phone</w:t>
      </w:r>
      <w:r w:rsidR="2EB0CD9E">
        <w:t>; approximately XX individuals participated in the public meeting on May 29, 2024, via webinar or phone</w:t>
      </w:r>
      <w:r w:rsidR="4030FDC7">
        <w:t>.</w:t>
      </w:r>
    </w:p>
    <w:p w14:paraId="7760C852" w14:textId="03D24622" w:rsidR="0089236E" w:rsidRDefault="0089236E" w:rsidP="0089236E"/>
    <w:p w14:paraId="56F1D96A" w14:textId="4A8E2F0A" w:rsidR="0089236E" w:rsidRDefault="0089236E" w:rsidP="0089236E">
      <w:r>
        <w:t xml:space="preserve">Recordings of and/or </w:t>
      </w:r>
      <w:r w:rsidR="007C4E90">
        <w:t>transcripts</w:t>
      </w:r>
      <w:r>
        <w:t xml:space="preserve"> for </w:t>
      </w:r>
      <w:r w:rsidR="007C4E90">
        <w:t>the</w:t>
      </w:r>
      <w:r>
        <w:t xml:space="preserve"> public </w:t>
      </w:r>
      <w:r w:rsidR="001A15CA">
        <w:t>meeting</w:t>
      </w:r>
      <w:r w:rsidR="0C5E29BD">
        <w:t>s</w:t>
      </w:r>
      <w:r w:rsidR="001A15CA">
        <w:t xml:space="preserve"> </w:t>
      </w:r>
      <w:r w:rsidR="2B743887">
        <w:t>will be</w:t>
      </w:r>
      <w:r>
        <w:t xml:space="preserve"> available on Commerce’s website at</w:t>
      </w:r>
      <w:r w:rsidR="003B0A88">
        <w:t xml:space="preserve"> </w:t>
      </w:r>
      <w:hyperlink r:id="rId19">
        <w:r w:rsidR="003B0A88" w:rsidRPr="4B66775E">
          <w:rPr>
            <w:rStyle w:val="Hyperlink"/>
          </w:rPr>
          <w:t>https://commerce.mt.gov/Consolidated-Plan</w:t>
        </w:r>
      </w:hyperlink>
      <w:r>
        <w:t>. Documentation of meetings (</w:t>
      </w:r>
      <w:r w:rsidR="00CA3FC1">
        <w:t xml:space="preserve">advertisements, </w:t>
      </w:r>
      <w:r>
        <w:t>presentations, official transcripts</w:t>
      </w:r>
      <w:r w:rsidR="00CA3FC1">
        <w:t>, etc.</w:t>
      </w:r>
      <w:r>
        <w:t xml:space="preserve">) </w:t>
      </w:r>
      <w:r w:rsidR="6BA5F52A">
        <w:t>will be</w:t>
      </w:r>
      <w:r>
        <w:t xml:space="preserve"> provided as </w:t>
      </w:r>
      <w:r w:rsidRPr="4B66775E">
        <w:rPr>
          <w:b/>
          <w:bCs/>
        </w:rPr>
        <w:t xml:space="preserve">Appendix </w:t>
      </w:r>
      <w:r w:rsidR="00336420" w:rsidRPr="4B66775E">
        <w:rPr>
          <w:b/>
          <w:bCs/>
        </w:rPr>
        <w:t>B</w:t>
      </w:r>
      <w:r>
        <w:t>.</w:t>
      </w:r>
    </w:p>
    <w:p w14:paraId="364BB8FC" w14:textId="55A2616C" w:rsidR="54FDEEE5" w:rsidRDefault="54FDEEE5" w:rsidP="54FDEEE5"/>
    <w:p w14:paraId="5459BA29" w14:textId="4C37F083" w:rsidR="00FA5C4D" w:rsidRDefault="000A6F75" w:rsidP="00FA5C4D">
      <w:pPr>
        <w:pStyle w:val="Heading3"/>
      </w:pPr>
      <w:r>
        <w:t xml:space="preserve">5. </w:t>
      </w:r>
      <w:r w:rsidR="00FA5C4D">
        <w:t>Summary of public comments</w:t>
      </w:r>
    </w:p>
    <w:p w14:paraId="73584B69" w14:textId="1A3C8512" w:rsidR="002D03DA" w:rsidRDefault="002D03DA" w:rsidP="002D03DA">
      <w:r>
        <w:t xml:space="preserve">Verbal comments regarding the development of the </w:t>
      </w:r>
      <w:r w:rsidR="000B6EF4">
        <w:t>D</w:t>
      </w:r>
      <w:r>
        <w:t xml:space="preserve">raft </w:t>
      </w:r>
      <w:r w:rsidR="006216A8">
        <w:t>2024</w:t>
      </w:r>
      <w:r>
        <w:t>-</w:t>
      </w:r>
      <w:r w:rsidR="006216A8">
        <w:t xml:space="preserve">2025 </w:t>
      </w:r>
      <w:r>
        <w:t>A</w:t>
      </w:r>
      <w:r w:rsidR="00B363CC">
        <w:t>AP</w:t>
      </w:r>
      <w:r>
        <w:t xml:space="preserve"> were received during public meeting</w:t>
      </w:r>
      <w:r w:rsidR="1CB2015F">
        <w:t>s</w:t>
      </w:r>
      <w:r>
        <w:t xml:space="preserve"> on</w:t>
      </w:r>
      <w:r w:rsidR="0FBA983E">
        <w:t xml:space="preserve"> </w:t>
      </w:r>
      <w:r w:rsidR="6F09D73E">
        <w:t xml:space="preserve">April 3, 2024, </w:t>
      </w:r>
      <w:r w:rsidR="0FBA983E">
        <w:t>and</w:t>
      </w:r>
      <w:r w:rsidR="103B96C8">
        <w:t xml:space="preserve"> May 29, 2024</w:t>
      </w:r>
      <w:r>
        <w:t xml:space="preserve">. </w:t>
      </w:r>
      <w:r w:rsidR="210A6E13">
        <w:t>Written comments regarding the development of the Draft 2024-2025 AAP were</w:t>
      </w:r>
      <w:r>
        <w:t xml:space="preserve"> accepted </w:t>
      </w:r>
      <w:r w:rsidR="22A63E74">
        <w:t xml:space="preserve">during the </w:t>
      </w:r>
      <w:r w:rsidR="44B4D4AC">
        <w:t xml:space="preserve">initial input </w:t>
      </w:r>
      <w:r w:rsidR="71723C7D">
        <w:t xml:space="preserve">period </w:t>
      </w:r>
      <w:r w:rsidR="7CB32770">
        <w:t xml:space="preserve">from March 19, 2024, to April 17, 2024, and </w:t>
      </w:r>
      <w:r w:rsidR="43EA072A">
        <w:t xml:space="preserve">during the document review period </w:t>
      </w:r>
      <w:r w:rsidR="5CBB1D57">
        <w:t>from</w:t>
      </w:r>
      <w:r w:rsidR="1EED4CC4">
        <w:t xml:space="preserve"> May 15, 2024, to June 13, 2024</w:t>
      </w:r>
      <w:r>
        <w:t xml:space="preserve">. All comments received were considered and incorporated into the </w:t>
      </w:r>
      <w:r w:rsidR="006216A8">
        <w:t>2024</w:t>
      </w:r>
      <w:r>
        <w:t>-</w:t>
      </w:r>
      <w:r w:rsidR="006216A8">
        <w:t xml:space="preserve">2025 </w:t>
      </w:r>
      <w:r>
        <w:t>A</w:t>
      </w:r>
      <w:r w:rsidR="00B363CC">
        <w:t>AP</w:t>
      </w:r>
      <w:r>
        <w:t xml:space="preserve"> documents. </w:t>
      </w:r>
    </w:p>
    <w:p w14:paraId="0FD58138" w14:textId="0CCAF3C6" w:rsidR="002D03DA" w:rsidRDefault="002D03DA" w:rsidP="002D03DA"/>
    <w:p w14:paraId="60F6AFC5" w14:textId="326951F6" w:rsidR="002D03DA" w:rsidRDefault="002D03DA" w:rsidP="002D03DA">
      <w:r>
        <w:lastRenderedPageBreak/>
        <w:t>A summary of all public comments received during the public comment period</w:t>
      </w:r>
      <w:r w:rsidR="301721AF">
        <w:t>s</w:t>
      </w:r>
      <w:r>
        <w:t xml:space="preserve"> for the </w:t>
      </w:r>
      <w:r w:rsidR="00AF653C">
        <w:t>D</w:t>
      </w:r>
      <w:r>
        <w:t xml:space="preserve">raft </w:t>
      </w:r>
      <w:r w:rsidR="006216A8">
        <w:t>2024</w:t>
      </w:r>
      <w:r w:rsidR="00B363CC">
        <w:t>-</w:t>
      </w:r>
      <w:r w:rsidR="006216A8">
        <w:t xml:space="preserve">2025 </w:t>
      </w:r>
      <w:r w:rsidR="00B363CC">
        <w:t xml:space="preserve">AAP </w:t>
      </w:r>
      <w:r>
        <w:t xml:space="preserve">are provided as </w:t>
      </w:r>
      <w:r w:rsidRPr="3223FC10">
        <w:rPr>
          <w:b/>
          <w:bCs/>
        </w:rPr>
        <w:t xml:space="preserve">Appendix </w:t>
      </w:r>
      <w:r w:rsidR="00336420" w:rsidRPr="3223FC10">
        <w:rPr>
          <w:b/>
          <w:bCs/>
        </w:rPr>
        <w:t>B</w:t>
      </w:r>
      <w:r>
        <w:t xml:space="preserve">.  </w:t>
      </w:r>
    </w:p>
    <w:p w14:paraId="1AA4697D" w14:textId="77777777" w:rsidR="006A08DB" w:rsidRPr="00FA5C4D" w:rsidRDefault="006A08DB" w:rsidP="00FA5C4D"/>
    <w:p w14:paraId="1E95B38D" w14:textId="70E4F4B0" w:rsidR="00FA5C4D" w:rsidRDefault="000A6F75" w:rsidP="00FA5C4D">
      <w:pPr>
        <w:pStyle w:val="Heading3"/>
      </w:pPr>
      <w:r>
        <w:t xml:space="preserve">6. </w:t>
      </w:r>
      <w:r w:rsidR="00FA5C4D">
        <w:t>Summary of comments or views not accepted and the reasons for not accepting them</w:t>
      </w:r>
    </w:p>
    <w:p w14:paraId="7EE03C1C" w14:textId="1BF98116" w:rsidR="002D03DA" w:rsidRDefault="002D03DA" w:rsidP="002D03DA">
      <w:r>
        <w:t xml:space="preserve">All </w:t>
      </w:r>
      <w:r w:rsidR="0051569B">
        <w:t xml:space="preserve">public </w:t>
      </w:r>
      <w:r>
        <w:t xml:space="preserve">comments </w:t>
      </w:r>
      <w:r w:rsidR="0DCF63A4">
        <w:t xml:space="preserve">or views </w:t>
      </w:r>
      <w:r w:rsidR="0051569B">
        <w:t>received</w:t>
      </w:r>
      <w:r>
        <w:t xml:space="preserve"> during the </w:t>
      </w:r>
      <w:r w:rsidR="0051569B">
        <w:t>public comment period</w:t>
      </w:r>
      <w:r w:rsidR="749E6B22">
        <w:t>s</w:t>
      </w:r>
      <w:r w:rsidR="0051569B">
        <w:t xml:space="preserve"> for</w:t>
      </w:r>
      <w:r>
        <w:t xml:space="preserve"> the </w:t>
      </w:r>
      <w:r w:rsidR="000B6EF4">
        <w:t>D</w:t>
      </w:r>
      <w:r>
        <w:t>raft</w:t>
      </w:r>
      <w:bookmarkStart w:id="13" w:name="_Hlk33450638"/>
      <w:r w:rsidR="00B363CC">
        <w:t xml:space="preserve"> </w:t>
      </w:r>
      <w:r w:rsidR="006216A8">
        <w:t>2024</w:t>
      </w:r>
      <w:r w:rsidR="00B363CC">
        <w:t>-</w:t>
      </w:r>
      <w:r w:rsidR="006216A8">
        <w:t xml:space="preserve">2025 </w:t>
      </w:r>
      <w:r w:rsidR="00B363CC">
        <w:t>AAP</w:t>
      </w:r>
      <w:bookmarkEnd w:id="13"/>
      <w:r w:rsidR="0051569B">
        <w:t xml:space="preserve"> were considered</w:t>
      </w:r>
      <w:r>
        <w:t xml:space="preserve">. A summary of public comments or views received that </w:t>
      </w:r>
      <w:r w:rsidR="6054A974">
        <w:t>we</w:t>
      </w:r>
      <w:r w:rsidR="2D4DE0B6">
        <w:t>re</w:t>
      </w:r>
      <w:r>
        <w:t xml:space="preserve"> not accepted, if any, and the reasons for not accepting them</w:t>
      </w:r>
      <w:r w:rsidR="6907D888">
        <w:t>,</w:t>
      </w:r>
      <w:r>
        <w:t xml:space="preserve"> are provided as </w:t>
      </w:r>
      <w:r w:rsidRPr="3223FC10">
        <w:rPr>
          <w:b/>
          <w:bCs/>
        </w:rPr>
        <w:t xml:space="preserve">Appendix </w:t>
      </w:r>
      <w:r w:rsidR="00336420" w:rsidRPr="3223FC10">
        <w:rPr>
          <w:b/>
          <w:bCs/>
        </w:rPr>
        <w:t>B</w:t>
      </w:r>
      <w:r>
        <w:t>.</w:t>
      </w:r>
    </w:p>
    <w:p w14:paraId="4F9BC570" w14:textId="77777777" w:rsidR="00BC13D0" w:rsidRDefault="00BC13D0" w:rsidP="002D03DA"/>
    <w:p w14:paraId="4BCACAD5" w14:textId="311BB9B1" w:rsidR="00FA5C4D" w:rsidRDefault="00A41681" w:rsidP="00FA5C4D">
      <w:pPr>
        <w:pStyle w:val="Heading3"/>
      </w:pPr>
      <w:r>
        <w:t>7</w:t>
      </w:r>
      <w:r w:rsidR="000A6F75">
        <w:t xml:space="preserve">. </w:t>
      </w:r>
      <w:r w:rsidR="00FA5C4D">
        <w:t>Summary</w:t>
      </w:r>
    </w:p>
    <w:p w14:paraId="2AA258CD" w14:textId="07BF1512" w:rsidR="002D03DA" w:rsidRPr="00A12161" w:rsidRDefault="002D03DA" w:rsidP="002D03DA">
      <w:r w:rsidRPr="00A12161">
        <w:t xml:space="preserve">The </w:t>
      </w:r>
      <w:r w:rsidR="006216A8">
        <w:t>2024</w:t>
      </w:r>
      <w:r w:rsidR="00B363CC">
        <w:t>-</w:t>
      </w:r>
      <w:r w:rsidR="006216A8">
        <w:t xml:space="preserve">2025 </w:t>
      </w:r>
      <w:r w:rsidR="00B363CC">
        <w:t xml:space="preserve">AAP </w:t>
      </w:r>
      <w:r w:rsidRPr="00A12161">
        <w:t>functions as:</w:t>
      </w:r>
    </w:p>
    <w:p w14:paraId="31357E40" w14:textId="4A79EFD2" w:rsidR="002D03DA" w:rsidRDefault="002D03DA" w:rsidP="00CA7256">
      <w:pPr>
        <w:pStyle w:val="ListParagraph"/>
        <w:numPr>
          <w:ilvl w:val="0"/>
          <w:numId w:val="27"/>
        </w:numPr>
      </w:pPr>
      <w:r w:rsidRPr="00A12161">
        <w:t xml:space="preserve">A comprehensive </w:t>
      </w:r>
      <w:r w:rsidR="00B363CC">
        <w:t>1</w:t>
      </w:r>
      <w:r w:rsidRPr="00A12161">
        <w:t xml:space="preserve">-year planning document outlining the use of HUD funds </w:t>
      </w:r>
      <w:r>
        <w:t xml:space="preserve">primarily </w:t>
      </w:r>
      <w:r w:rsidRPr="00A12161">
        <w:t xml:space="preserve">in the non-entitlement areas of Montana that identifies the state’s </w:t>
      </w:r>
      <w:r>
        <w:t>housing, planning, infrastructure, economic, and homeless needs, with special emphasis on special needs populations</w:t>
      </w:r>
      <w:r w:rsidRPr="00A12161">
        <w:t>, and the respective</w:t>
      </w:r>
      <w:r>
        <w:t>,</w:t>
      </w:r>
      <w:r w:rsidRPr="00A12161">
        <w:t xml:space="preserve"> planned resource investments to satisfy those </w:t>
      </w:r>
      <w:proofErr w:type="gramStart"/>
      <w:r w:rsidRPr="00A12161">
        <w:t>needs;</w:t>
      </w:r>
      <w:proofErr w:type="gramEnd"/>
    </w:p>
    <w:p w14:paraId="6C39258E" w14:textId="0968EC8E" w:rsidR="002D03DA" w:rsidRDefault="002D03DA" w:rsidP="00CA7256">
      <w:pPr>
        <w:pStyle w:val="ListParagraph"/>
        <w:numPr>
          <w:ilvl w:val="0"/>
          <w:numId w:val="27"/>
        </w:numPr>
      </w:pPr>
      <w:r w:rsidRPr="00A12161">
        <w:t xml:space="preserve">A participatory public process among citizens, organizations, businesses, and other </w:t>
      </w:r>
      <w:proofErr w:type="gramStart"/>
      <w:r w:rsidRPr="00A12161">
        <w:t>stakeholders;</w:t>
      </w:r>
      <w:proofErr w:type="gramEnd"/>
    </w:p>
    <w:p w14:paraId="67629D4A" w14:textId="77777777" w:rsidR="002D03DA" w:rsidRDefault="002D03DA" w:rsidP="00CA7256">
      <w:pPr>
        <w:pStyle w:val="ListParagraph"/>
        <w:numPr>
          <w:ilvl w:val="0"/>
          <w:numId w:val="27"/>
        </w:numPr>
      </w:pPr>
      <w:r w:rsidRPr="00A12161">
        <w:t xml:space="preserve">An application </w:t>
      </w:r>
      <w:r>
        <w:t xml:space="preserve">by the State of Montana </w:t>
      </w:r>
      <w:r w:rsidRPr="00A12161">
        <w:t xml:space="preserve">for federal funds under HUD’s formula grant </w:t>
      </w:r>
      <w:proofErr w:type="gramStart"/>
      <w:r w:rsidRPr="00A12161">
        <w:t>programs;</w:t>
      </w:r>
      <w:proofErr w:type="gramEnd"/>
    </w:p>
    <w:p w14:paraId="4D38FE84" w14:textId="77777777" w:rsidR="002D03DA" w:rsidRDefault="002D03DA" w:rsidP="00CA7256">
      <w:pPr>
        <w:pStyle w:val="ListParagraph"/>
        <w:numPr>
          <w:ilvl w:val="0"/>
          <w:numId w:val="27"/>
        </w:numPr>
      </w:pPr>
      <w:r w:rsidRPr="00A12161">
        <w:t>A strategy document to be followed in carrying out HUD’s programs in Montana; and</w:t>
      </w:r>
    </w:p>
    <w:p w14:paraId="1E88F79B" w14:textId="77777777" w:rsidR="002D03DA" w:rsidRDefault="002D03DA" w:rsidP="00CA7256">
      <w:pPr>
        <w:pStyle w:val="ListParagraph"/>
        <w:numPr>
          <w:ilvl w:val="0"/>
          <w:numId w:val="27"/>
        </w:numPr>
      </w:pPr>
      <w:r w:rsidRPr="00A12161">
        <w:t>A management tool for assessing state performance in carrying out HUD’s programs in Montana.</w:t>
      </w:r>
    </w:p>
    <w:p w14:paraId="0FFD5CF2" w14:textId="77777777" w:rsidR="002D03DA" w:rsidRDefault="002D03DA" w:rsidP="00FA5C4D"/>
    <w:p w14:paraId="5DFFCC46" w14:textId="58AFCBB6" w:rsidR="00FA5C4D" w:rsidRDefault="00FA5C4D" w:rsidP="003747A4">
      <w:pPr>
        <w:pStyle w:val="Heading2"/>
      </w:pPr>
      <w:bookmarkStart w:id="14" w:name="_Toc72413486"/>
      <w:r>
        <w:t>PR-05 Lead &amp; Responsible Agencies – 91.300(b)</w:t>
      </w:r>
      <w:bookmarkEnd w:id="14"/>
    </w:p>
    <w:p w14:paraId="51B39B97" w14:textId="77777777" w:rsidR="000A6F75" w:rsidRPr="005122FB" w:rsidRDefault="000A6F75" w:rsidP="000A6F75">
      <w:pPr>
        <w:pStyle w:val="Heading3"/>
      </w:pPr>
      <w:r w:rsidRPr="006D0105">
        <w:t>Describe</w:t>
      </w:r>
      <w:r w:rsidRPr="005122FB">
        <w:t xml:space="preserve"> agency/entity responsible for preparing the Consolidated Plan and those responsible for administration of each grant program and funding source</w:t>
      </w:r>
    </w:p>
    <w:p w14:paraId="7264DF1F" w14:textId="0E299FE1" w:rsidR="000A6F75" w:rsidRDefault="000A6F75" w:rsidP="000A6F75">
      <w:pPr>
        <w:rPr>
          <w:rFonts w:cstheme="minorHAnsi"/>
          <w:color w:val="000000"/>
        </w:rPr>
      </w:pPr>
      <w:r w:rsidRPr="005122FB">
        <w:rPr>
          <w:rFonts w:cstheme="minorHAnsi"/>
          <w:color w:val="000000"/>
        </w:rPr>
        <w:t xml:space="preserve">The following are the agencies responsible for preparing </w:t>
      </w:r>
      <w:r>
        <w:rPr>
          <w:rFonts w:cstheme="minorHAnsi"/>
          <w:color w:val="000000"/>
        </w:rPr>
        <w:t xml:space="preserve">and administering </w:t>
      </w:r>
      <w:r w:rsidRPr="005122FB">
        <w:rPr>
          <w:rFonts w:cstheme="minorHAnsi"/>
          <w:color w:val="000000"/>
        </w:rPr>
        <w:t xml:space="preserve">the </w:t>
      </w:r>
      <w:r w:rsidR="006216A8">
        <w:rPr>
          <w:rFonts w:cstheme="minorHAnsi"/>
          <w:color w:val="000000"/>
        </w:rPr>
        <w:t>2024-2025</w:t>
      </w:r>
      <w:r>
        <w:rPr>
          <w:rFonts w:cstheme="minorHAnsi"/>
          <w:color w:val="000000"/>
        </w:rPr>
        <w:t xml:space="preserve"> AAP </w:t>
      </w:r>
      <w:r w:rsidRPr="005122FB">
        <w:rPr>
          <w:rFonts w:cstheme="minorHAnsi"/>
          <w:color w:val="000000"/>
        </w:rPr>
        <w:t>and those responsible for administration of each grant program and funding source.</w:t>
      </w:r>
    </w:p>
    <w:p w14:paraId="6B26FC8D" w14:textId="77777777" w:rsidR="000A6F75" w:rsidRPr="000A6F75" w:rsidRDefault="000A6F75" w:rsidP="000A6F75"/>
    <w:p w14:paraId="54884E71" w14:textId="77777777" w:rsidR="000A6F75" w:rsidRPr="0077614A" w:rsidRDefault="000A6F75" w:rsidP="000A6F75">
      <w:pPr>
        <w:pStyle w:val="TableCaption"/>
      </w:pPr>
      <w:bookmarkStart w:id="15" w:name="_Toc56449232"/>
      <w:bookmarkStart w:id="16" w:name="_Toc61552472"/>
      <w:bookmarkStart w:id="17" w:name="_Toc70505073"/>
      <w:bookmarkStart w:id="18" w:name="_Toc73081438"/>
      <w:bookmarkStart w:id="19" w:name="_Hlk70602388"/>
      <w:r w:rsidRPr="0077614A">
        <w:t>Table 1 – Responsible Agencies</w:t>
      </w:r>
      <w:bookmarkEnd w:id="15"/>
      <w:bookmarkEnd w:id="16"/>
      <w:bookmarkEnd w:id="17"/>
      <w:bookmarkEnd w:id="18"/>
    </w:p>
    <w:p w14:paraId="0C3633B9" w14:textId="77777777" w:rsidR="000A6F75" w:rsidRDefault="000A6F75" w:rsidP="000A6F75">
      <w:pPr>
        <w:rPr>
          <w:b/>
          <w:vanish/>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sponsible Agencies (Table 1)"/>
        <w:tblDescription w:val="This table shows that the Montana Departments of Commerce and Public Health and Human Services serve as lead agencies for the Consolidated Plan."/>
      </w:tblPr>
      <w:tblGrid>
        <w:gridCol w:w="2770"/>
        <w:gridCol w:w="2702"/>
        <w:gridCol w:w="3878"/>
      </w:tblGrid>
      <w:tr w:rsidR="000A6F75" w14:paraId="401B236B" w14:textId="77777777" w:rsidTr="6554FCEC">
        <w:trPr>
          <w:cantSplit/>
          <w:tblHeader/>
          <w:hidden/>
        </w:trPr>
        <w:tc>
          <w:tcPr>
            <w:tcW w:w="1481" w:type="pct"/>
          </w:tcPr>
          <w:p w14:paraId="166AFE8D" w14:textId="77777777" w:rsidR="000A6F75" w:rsidRDefault="000A6F75" w:rsidP="003E73B9">
            <w:pPr>
              <w:keepNext/>
              <w:widowControl w:val="0"/>
              <w:jc w:val="center"/>
              <w:rPr>
                <w:b/>
                <w:bCs/>
                <w:vanish/>
              </w:rPr>
            </w:pPr>
          </w:p>
        </w:tc>
        <w:tc>
          <w:tcPr>
            <w:tcW w:w="1445" w:type="pct"/>
          </w:tcPr>
          <w:p w14:paraId="21B41F7F" w14:textId="77777777" w:rsidR="000A6F75" w:rsidRDefault="000A6F75" w:rsidP="003E73B9">
            <w:pPr>
              <w:keepNext/>
              <w:widowControl w:val="0"/>
              <w:jc w:val="center"/>
              <w:rPr>
                <w:b/>
                <w:bCs/>
                <w:vanish/>
              </w:rPr>
            </w:pPr>
          </w:p>
        </w:tc>
        <w:tc>
          <w:tcPr>
            <w:tcW w:w="2074" w:type="pct"/>
          </w:tcPr>
          <w:p w14:paraId="16290E6D" w14:textId="77777777" w:rsidR="000A6F75" w:rsidRDefault="000A6F75" w:rsidP="003E73B9">
            <w:pPr>
              <w:keepNext/>
              <w:widowControl w:val="0"/>
              <w:jc w:val="center"/>
              <w:rPr>
                <w:b/>
                <w:bCs/>
                <w:vanish/>
              </w:rPr>
            </w:pPr>
          </w:p>
        </w:tc>
      </w:tr>
      <w:tr w:rsidR="000A6F75" w14:paraId="144CFD7C" w14:textId="77777777" w:rsidTr="6554FCEC">
        <w:trPr>
          <w:cantSplit/>
        </w:trPr>
        <w:tc>
          <w:tcPr>
            <w:tcW w:w="1481" w:type="pct"/>
            <w:shd w:val="clear" w:color="auto" w:fill="C5D4D5"/>
            <w:vAlign w:val="center"/>
          </w:tcPr>
          <w:p w14:paraId="6C2AA612" w14:textId="77777777" w:rsidR="000A6F75" w:rsidRPr="00FB6A96" w:rsidRDefault="000A6F75" w:rsidP="003E73B9">
            <w:pPr>
              <w:spacing w:beforeAutospacing="1" w:afterAutospacing="1"/>
              <w:rPr>
                <w:color w:val="000000"/>
                <w:sz w:val="20"/>
                <w:szCs w:val="20"/>
              </w:rPr>
            </w:pPr>
            <w:bookmarkStart w:id="20" w:name="_Hlk70602377"/>
            <w:r w:rsidRPr="00FB6A96">
              <w:rPr>
                <w:color w:val="000000"/>
                <w:sz w:val="20"/>
                <w:szCs w:val="20"/>
              </w:rPr>
              <w:t>Agency Role</w:t>
            </w:r>
          </w:p>
        </w:tc>
        <w:tc>
          <w:tcPr>
            <w:tcW w:w="1445" w:type="pct"/>
            <w:shd w:val="clear" w:color="auto" w:fill="C5D4D5"/>
            <w:vAlign w:val="center"/>
          </w:tcPr>
          <w:p w14:paraId="3B31F773" w14:textId="77777777" w:rsidR="000A6F75" w:rsidRPr="00FB6A96" w:rsidRDefault="000A6F75" w:rsidP="003E73B9">
            <w:pPr>
              <w:spacing w:beforeAutospacing="1" w:afterAutospacing="1"/>
              <w:jc w:val="center"/>
              <w:rPr>
                <w:color w:val="000000"/>
                <w:sz w:val="20"/>
                <w:szCs w:val="20"/>
              </w:rPr>
            </w:pPr>
            <w:r w:rsidRPr="00FB6A96">
              <w:rPr>
                <w:color w:val="000000"/>
                <w:sz w:val="20"/>
                <w:szCs w:val="20"/>
              </w:rPr>
              <w:t>Name</w:t>
            </w:r>
          </w:p>
        </w:tc>
        <w:tc>
          <w:tcPr>
            <w:tcW w:w="2074" w:type="pct"/>
            <w:shd w:val="clear" w:color="auto" w:fill="C5D4D5"/>
            <w:vAlign w:val="center"/>
          </w:tcPr>
          <w:p w14:paraId="06EEDACF" w14:textId="77777777" w:rsidR="000A6F75" w:rsidRPr="00FB6A96" w:rsidRDefault="000A6F75" w:rsidP="003E73B9">
            <w:pPr>
              <w:spacing w:beforeAutospacing="1" w:afterAutospacing="1"/>
              <w:jc w:val="center"/>
              <w:rPr>
                <w:color w:val="000000"/>
                <w:sz w:val="20"/>
                <w:szCs w:val="20"/>
              </w:rPr>
            </w:pPr>
            <w:r w:rsidRPr="00FB6A96">
              <w:rPr>
                <w:color w:val="000000"/>
                <w:sz w:val="20"/>
                <w:szCs w:val="20"/>
              </w:rPr>
              <w:t>Department/Agency</w:t>
            </w:r>
          </w:p>
        </w:tc>
      </w:tr>
      <w:tr w:rsidR="000A6F75" w14:paraId="095EAA8F" w14:textId="77777777" w:rsidTr="6554FCEC">
        <w:trPr>
          <w:cantSplit/>
        </w:trPr>
        <w:tc>
          <w:tcPr>
            <w:tcW w:w="1481" w:type="pct"/>
          </w:tcPr>
          <w:p w14:paraId="68A5400E" w14:textId="77777777" w:rsidR="000A6F75" w:rsidRPr="00FB6A96" w:rsidRDefault="000A6F75" w:rsidP="003E73B9">
            <w:pPr>
              <w:spacing w:beforeAutospacing="1" w:afterAutospacing="1"/>
              <w:rPr>
                <w:color w:val="000000"/>
                <w:sz w:val="20"/>
                <w:szCs w:val="20"/>
              </w:rPr>
            </w:pPr>
            <w:r w:rsidRPr="00FB6A96">
              <w:rPr>
                <w:color w:val="000000"/>
                <w:sz w:val="20"/>
                <w:szCs w:val="20"/>
              </w:rPr>
              <w:t>Lead Agency</w:t>
            </w:r>
          </w:p>
        </w:tc>
        <w:tc>
          <w:tcPr>
            <w:tcW w:w="1445" w:type="pct"/>
            <w:vAlign w:val="center"/>
          </w:tcPr>
          <w:p w14:paraId="26975A44" w14:textId="6DE73B19" w:rsidR="000A6F75" w:rsidRPr="006F1612" w:rsidRDefault="006216A8" w:rsidP="003E73B9">
            <w:pPr>
              <w:spacing w:beforeAutospacing="1" w:afterAutospacing="1"/>
              <w:rPr>
                <w:color w:val="000000"/>
                <w:sz w:val="20"/>
                <w:szCs w:val="20"/>
                <w:highlight w:val="yellow"/>
              </w:rPr>
            </w:pPr>
            <w:r>
              <w:rPr>
                <w:color w:val="000000"/>
                <w:sz w:val="20"/>
                <w:szCs w:val="20"/>
              </w:rPr>
              <w:t>Paul Green</w:t>
            </w:r>
            <w:r w:rsidR="000A6F75" w:rsidRPr="000E6087">
              <w:rPr>
                <w:color w:val="000000"/>
                <w:sz w:val="20"/>
                <w:szCs w:val="20"/>
              </w:rPr>
              <w:t>, Director</w:t>
            </w:r>
          </w:p>
        </w:tc>
        <w:tc>
          <w:tcPr>
            <w:tcW w:w="2074" w:type="pct"/>
            <w:vMerge w:val="restart"/>
            <w:vAlign w:val="center"/>
          </w:tcPr>
          <w:p w14:paraId="176E9BE0" w14:textId="77777777" w:rsidR="000A6F75" w:rsidRPr="00FB6A96" w:rsidRDefault="000A6F75" w:rsidP="003E73B9">
            <w:pPr>
              <w:spacing w:beforeAutospacing="1" w:afterAutospacing="1"/>
              <w:rPr>
                <w:color w:val="000000"/>
                <w:sz w:val="20"/>
                <w:szCs w:val="20"/>
              </w:rPr>
            </w:pPr>
            <w:r w:rsidRPr="00FB6A96">
              <w:rPr>
                <w:color w:val="000000"/>
                <w:sz w:val="20"/>
                <w:szCs w:val="20"/>
              </w:rPr>
              <w:t>Montana Department of Commerce</w:t>
            </w:r>
          </w:p>
        </w:tc>
      </w:tr>
      <w:tr w:rsidR="000A6F75" w14:paraId="04A6A27C" w14:textId="77777777" w:rsidTr="6554FCEC">
        <w:trPr>
          <w:cantSplit/>
        </w:trPr>
        <w:tc>
          <w:tcPr>
            <w:tcW w:w="1481" w:type="pct"/>
          </w:tcPr>
          <w:p w14:paraId="0FC1DCAF" w14:textId="77777777" w:rsidR="000A6F75" w:rsidRPr="00FB6A96" w:rsidRDefault="000A6F75" w:rsidP="003E73B9">
            <w:pPr>
              <w:spacing w:beforeAutospacing="1" w:afterAutospacing="1"/>
              <w:rPr>
                <w:sz w:val="20"/>
                <w:szCs w:val="20"/>
              </w:rPr>
            </w:pPr>
            <w:r w:rsidRPr="00FB6A96">
              <w:rPr>
                <w:color w:val="000000"/>
                <w:sz w:val="20"/>
                <w:szCs w:val="20"/>
              </w:rPr>
              <w:t>CDBG Administrator</w:t>
            </w:r>
          </w:p>
        </w:tc>
        <w:tc>
          <w:tcPr>
            <w:tcW w:w="1445" w:type="pct"/>
            <w:vAlign w:val="center"/>
          </w:tcPr>
          <w:p w14:paraId="1B3BE9E9" w14:textId="3CA71CE1" w:rsidR="000A6F75" w:rsidRPr="006F1612" w:rsidRDefault="6D81C2A9" w:rsidP="0AF95A31">
            <w:pPr>
              <w:spacing w:beforeAutospacing="1" w:afterAutospacing="1"/>
              <w:rPr>
                <w:sz w:val="20"/>
                <w:szCs w:val="20"/>
                <w:highlight w:val="yellow"/>
              </w:rPr>
            </w:pPr>
            <w:r w:rsidRPr="54FDEEE5">
              <w:rPr>
                <w:sz w:val="20"/>
                <w:szCs w:val="20"/>
              </w:rPr>
              <w:t>Galen Steffens</w:t>
            </w:r>
            <w:r w:rsidR="000A6F75" w:rsidRPr="54FDEEE5">
              <w:rPr>
                <w:sz w:val="20"/>
                <w:szCs w:val="20"/>
              </w:rPr>
              <w:t>, Division Administrator</w:t>
            </w:r>
          </w:p>
        </w:tc>
        <w:tc>
          <w:tcPr>
            <w:tcW w:w="2074" w:type="pct"/>
            <w:vMerge/>
          </w:tcPr>
          <w:p w14:paraId="64895C4B" w14:textId="77777777" w:rsidR="000A6F75" w:rsidRPr="00FB6A96" w:rsidRDefault="000A6F75" w:rsidP="003E73B9">
            <w:pPr>
              <w:spacing w:beforeAutospacing="1" w:afterAutospacing="1"/>
              <w:rPr>
                <w:sz w:val="20"/>
                <w:szCs w:val="20"/>
              </w:rPr>
            </w:pPr>
          </w:p>
        </w:tc>
      </w:tr>
      <w:tr w:rsidR="00A32A92" w14:paraId="4203AD45" w14:textId="77777777" w:rsidTr="6554FCEC">
        <w:trPr>
          <w:cantSplit/>
        </w:trPr>
        <w:tc>
          <w:tcPr>
            <w:tcW w:w="1481" w:type="pct"/>
          </w:tcPr>
          <w:p w14:paraId="07B41E7B" w14:textId="77777777" w:rsidR="00A32A92" w:rsidRPr="00FB6A96" w:rsidRDefault="00A32A92" w:rsidP="003E73B9">
            <w:pPr>
              <w:spacing w:beforeAutospacing="1" w:afterAutospacing="1"/>
              <w:rPr>
                <w:sz w:val="20"/>
                <w:szCs w:val="20"/>
              </w:rPr>
            </w:pPr>
            <w:r w:rsidRPr="00FB6A96">
              <w:rPr>
                <w:color w:val="000000"/>
                <w:sz w:val="20"/>
                <w:szCs w:val="20"/>
              </w:rPr>
              <w:t>HOME Administrator</w:t>
            </w:r>
          </w:p>
        </w:tc>
        <w:tc>
          <w:tcPr>
            <w:tcW w:w="1445" w:type="pct"/>
            <w:vMerge w:val="restart"/>
            <w:vAlign w:val="center"/>
          </w:tcPr>
          <w:p w14:paraId="669F6553" w14:textId="0F6D0FDD" w:rsidR="00A32A92" w:rsidRDefault="00A32A92" w:rsidP="0AF95A31">
            <w:pPr>
              <w:rPr>
                <w:sz w:val="20"/>
                <w:szCs w:val="20"/>
              </w:rPr>
            </w:pPr>
            <w:r w:rsidRPr="6554FCEC">
              <w:rPr>
                <w:sz w:val="20"/>
                <w:szCs w:val="20"/>
              </w:rPr>
              <w:t>Cheryl Cohen, Division Administrator</w:t>
            </w:r>
          </w:p>
        </w:tc>
        <w:tc>
          <w:tcPr>
            <w:tcW w:w="2074" w:type="pct"/>
            <w:vMerge/>
          </w:tcPr>
          <w:p w14:paraId="7CE03FFC" w14:textId="77777777" w:rsidR="00A32A92" w:rsidRPr="00FB6A96" w:rsidRDefault="00A32A92" w:rsidP="003E73B9">
            <w:pPr>
              <w:spacing w:beforeAutospacing="1" w:afterAutospacing="1"/>
              <w:rPr>
                <w:sz w:val="20"/>
                <w:szCs w:val="20"/>
              </w:rPr>
            </w:pPr>
          </w:p>
        </w:tc>
      </w:tr>
      <w:tr w:rsidR="00A32A92" w14:paraId="7CA882F4" w14:textId="77777777" w:rsidTr="6554FCEC">
        <w:trPr>
          <w:cantSplit/>
        </w:trPr>
        <w:tc>
          <w:tcPr>
            <w:tcW w:w="1481" w:type="pct"/>
          </w:tcPr>
          <w:p w14:paraId="221AFA53" w14:textId="77777777" w:rsidR="00A32A92" w:rsidRPr="00FB6A96" w:rsidRDefault="00A32A92" w:rsidP="003E73B9">
            <w:pPr>
              <w:spacing w:beforeAutospacing="1" w:afterAutospacing="1"/>
              <w:rPr>
                <w:sz w:val="20"/>
                <w:szCs w:val="20"/>
              </w:rPr>
            </w:pPr>
            <w:r w:rsidRPr="00FB6A96">
              <w:rPr>
                <w:color w:val="000000"/>
                <w:sz w:val="20"/>
                <w:szCs w:val="20"/>
              </w:rPr>
              <w:t>HTF Administrator</w:t>
            </w:r>
          </w:p>
        </w:tc>
        <w:tc>
          <w:tcPr>
            <w:tcW w:w="1445" w:type="pct"/>
            <w:vMerge/>
            <w:vAlign w:val="center"/>
          </w:tcPr>
          <w:p w14:paraId="67847A8F" w14:textId="13FC4B47" w:rsidR="00A32A92" w:rsidRDefault="00A32A92" w:rsidP="0AF95A31">
            <w:pPr>
              <w:rPr>
                <w:sz w:val="20"/>
                <w:szCs w:val="20"/>
              </w:rPr>
            </w:pPr>
          </w:p>
        </w:tc>
        <w:tc>
          <w:tcPr>
            <w:tcW w:w="2074" w:type="pct"/>
            <w:vMerge/>
          </w:tcPr>
          <w:p w14:paraId="664192C5" w14:textId="77777777" w:rsidR="00A32A92" w:rsidRPr="00FB6A96" w:rsidRDefault="00A32A92" w:rsidP="003E73B9">
            <w:pPr>
              <w:spacing w:beforeAutospacing="1" w:afterAutospacing="1"/>
              <w:rPr>
                <w:sz w:val="20"/>
                <w:szCs w:val="20"/>
              </w:rPr>
            </w:pPr>
          </w:p>
        </w:tc>
      </w:tr>
      <w:tr w:rsidR="000A6F75" w14:paraId="7FA00AF1" w14:textId="77777777" w:rsidTr="6554FCEC">
        <w:trPr>
          <w:cantSplit/>
        </w:trPr>
        <w:tc>
          <w:tcPr>
            <w:tcW w:w="1481" w:type="pct"/>
          </w:tcPr>
          <w:p w14:paraId="67B4CE36" w14:textId="77777777" w:rsidR="000A6F75" w:rsidRPr="00FB6A96" w:rsidRDefault="000A6F75" w:rsidP="003E73B9">
            <w:pPr>
              <w:spacing w:beforeAutospacing="1" w:afterAutospacing="1"/>
              <w:rPr>
                <w:color w:val="000000"/>
                <w:sz w:val="20"/>
                <w:szCs w:val="20"/>
              </w:rPr>
            </w:pPr>
            <w:r w:rsidRPr="00FB6A96">
              <w:rPr>
                <w:color w:val="000000"/>
                <w:sz w:val="20"/>
                <w:szCs w:val="20"/>
              </w:rPr>
              <w:t>ESG Administrator</w:t>
            </w:r>
          </w:p>
        </w:tc>
        <w:tc>
          <w:tcPr>
            <w:tcW w:w="1445" w:type="pct"/>
            <w:vMerge w:val="restart"/>
            <w:vAlign w:val="center"/>
          </w:tcPr>
          <w:p w14:paraId="1E57EC53" w14:textId="787E069A" w:rsidR="000A6F75" w:rsidRPr="00FB6A96" w:rsidRDefault="59ED5566" w:rsidP="2F69EFA0">
            <w:pPr>
              <w:spacing w:beforeAutospacing="1" w:afterAutospacing="1"/>
              <w:rPr>
                <w:color w:val="000000"/>
                <w:sz w:val="20"/>
                <w:szCs w:val="20"/>
              </w:rPr>
            </w:pPr>
            <w:r w:rsidRPr="54FDEEE5">
              <w:rPr>
                <w:color w:val="000000" w:themeColor="text1"/>
                <w:sz w:val="20"/>
                <w:szCs w:val="20"/>
              </w:rPr>
              <w:t>Jessie Counts</w:t>
            </w:r>
            <w:r w:rsidR="000A6F75" w:rsidRPr="54FDEEE5">
              <w:rPr>
                <w:color w:val="000000" w:themeColor="text1"/>
                <w:sz w:val="20"/>
                <w:szCs w:val="20"/>
              </w:rPr>
              <w:t>, Division Administrator</w:t>
            </w:r>
          </w:p>
        </w:tc>
        <w:tc>
          <w:tcPr>
            <w:tcW w:w="2074" w:type="pct"/>
            <w:vMerge w:val="restart"/>
            <w:vAlign w:val="center"/>
          </w:tcPr>
          <w:p w14:paraId="2E11E58D" w14:textId="77777777" w:rsidR="000A6F75" w:rsidRPr="00FB6A96" w:rsidRDefault="000A6F75" w:rsidP="003E73B9">
            <w:pPr>
              <w:spacing w:beforeAutospacing="1" w:afterAutospacing="1"/>
              <w:rPr>
                <w:color w:val="000000"/>
                <w:sz w:val="20"/>
                <w:szCs w:val="20"/>
              </w:rPr>
            </w:pPr>
            <w:r w:rsidRPr="00FB6A96">
              <w:rPr>
                <w:color w:val="000000"/>
                <w:sz w:val="20"/>
                <w:szCs w:val="20"/>
              </w:rPr>
              <w:t>Montana Dep</w:t>
            </w:r>
            <w:r>
              <w:rPr>
                <w:color w:val="000000"/>
                <w:sz w:val="20"/>
                <w:szCs w:val="20"/>
              </w:rPr>
              <w:t>ar</w:t>
            </w:r>
            <w:r w:rsidRPr="00FB6A96">
              <w:rPr>
                <w:color w:val="000000"/>
                <w:sz w:val="20"/>
                <w:szCs w:val="20"/>
              </w:rPr>
              <w:t>t</w:t>
            </w:r>
            <w:r>
              <w:rPr>
                <w:color w:val="000000"/>
                <w:sz w:val="20"/>
                <w:szCs w:val="20"/>
              </w:rPr>
              <w:t>ment</w:t>
            </w:r>
            <w:r w:rsidRPr="00FB6A96">
              <w:rPr>
                <w:color w:val="000000"/>
                <w:sz w:val="20"/>
                <w:szCs w:val="20"/>
              </w:rPr>
              <w:t xml:space="preserve"> of Public Health </w:t>
            </w:r>
            <w:r>
              <w:rPr>
                <w:color w:val="000000"/>
                <w:sz w:val="20"/>
                <w:szCs w:val="20"/>
              </w:rPr>
              <w:t>and</w:t>
            </w:r>
            <w:r w:rsidRPr="00FB6A96">
              <w:rPr>
                <w:color w:val="000000"/>
                <w:sz w:val="20"/>
                <w:szCs w:val="20"/>
              </w:rPr>
              <w:t xml:space="preserve"> Human Services</w:t>
            </w:r>
          </w:p>
        </w:tc>
      </w:tr>
      <w:bookmarkEnd w:id="19"/>
      <w:tr w:rsidR="000A6F75" w14:paraId="5C1EDEAA" w14:textId="77777777" w:rsidTr="6554FCEC">
        <w:trPr>
          <w:cantSplit/>
        </w:trPr>
        <w:tc>
          <w:tcPr>
            <w:tcW w:w="1481" w:type="pct"/>
          </w:tcPr>
          <w:p w14:paraId="39D0ACA6" w14:textId="77777777" w:rsidR="000A6F75" w:rsidRPr="006E194D" w:rsidRDefault="000A6F75" w:rsidP="003E73B9">
            <w:pPr>
              <w:spacing w:beforeAutospacing="1" w:afterAutospacing="1"/>
              <w:rPr>
                <w:color w:val="000000"/>
                <w:sz w:val="20"/>
                <w:szCs w:val="20"/>
              </w:rPr>
            </w:pPr>
            <w:r w:rsidRPr="006E194D">
              <w:rPr>
                <w:color w:val="000000"/>
                <w:sz w:val="20"/>
                <w:szCs w:val="20"/>
              </w:rPr>
              <w:t>HOPWA Administrator</w:t>
            </w:r>
          </w:p>
        </w:tc>
        <w:tc>
          <w:tcPr>
            <w:tcW w:w="1445" w:type="pct"/>
            <w:vMerge/>
          </w:tcPr>
          <w:p w14:paraId="157C21C4" w14:textId="77777777" w:rsidR="000A6F75" w:rsidRDefault="000A6F75" w:rsidP="003E73B9">
            <w:pPr>
              <w:spacing w:beforeAutospacing="1" w:afterAutospacing="1"/>
              <w:rPr>
                <w:color w:val="000000"/>
              </w:rPr>
            </w:pPr>
          </w:p>
        </w:tc>
        <w:tc>
          <w:tcPr>
            <w:tcW w:w="2074" w:type="pct"/>
            <w:vMerge/>
          </w:tcPr>
          <w:p w14:paraId="56281E4A" w14:textId="77777777" w:rsidR="000A6F75" w:rsidRDefault="000A6F75" w:rsidP="003E73B9">
            <w:pPr>
              <w:spacing w:beforeAutospacing="1" w:afterAutospacing="1"/>
              <w:rPr>
                <w:color w:val="000000"/>
              </w:rPr>
            </w:pPr>
          </w:p>
        </w:tc>
      </w:tr>
      <w:bookmarkEnd w:id="20"/>
    </w:tbl>
    <w:p w14:paraId="2750FB2C" w14:textId="79B1C339" w:rsidR="000A6F75" w:rsidRDefault="000A6F75" w:rsidP="000A6F75"/>
    <w:p w14:paraId="6B611574" w14:textId="3B2CA45A" w:rsidR="000A6F75" w:rsidRDefault="000A6F75" w:rsidP="000A6F75">
      <w:pPr>
        <w:pStyle w:val="Heading3"/>
      </w:pPr>
      <w:r>
        <w:t>Narrative</w:t>
      </w:r>
      <w:r w:rsidR="002B69AE">
        <w:t xml:space="preserve"> (optional)</w:t>
      </w:r>
    </w:p>
    <w:p w14:paraId="0681042C" w14:textId="6E07760D" w:rsidR="000A6F75" w:rsidRDefault="000A6F75" w:rsidP="000A6F75">
      <w:r w:rsidRPr="007016F5">
        <w:t xml:space="preserve">Commerce is the lead agency overseeing the development of the </w:t>
      </w:r>
      <w:r w:rsidR="006216A8">
        <w:t>2024-2025</w:t>
      </w:r>
      <w:r w:rsidR="00670921">
        <w:t xml:space="preserve"> </w:t>
      </w:r>
      <w:r>
        <w:t>AAP</w:t>
      </w:r>
      <w:r w:rsidRPr="007016F5">
        <w:t>. Commerce administers the CDBG</w:t>
      </w:r>
      <w:r>
        <w:t>,</w:t>
      </w:r>
      <w:r w:rsidRPr="007016F5">
        <w:t xml:space="preserve"> HOME</w:t>
      </w:r>
      <w:r>
        <w:t>,</w:t>
      </w:r>
      <w:r w:rsidRPr="007016F5">
        <w:t xml:space="preserve"> </w:t>
      </w:r>
      <w:r>
        <w:t>and HTF p</w:t>
      </w:r>
      <w:r w:rsidRPr="007016F5">
        <w:t xml:space="preserve">rograms covered by this </w:t>
      </w:r>
      <w:r>
        <w:t>p</w:t>
      </w:r>
      <w:r w:rsidRPr="007016F5">
        <w:t>lan</w:t>
      </w:r>
      <w:r>
        <w:t>.</w:t>
      </w:r>
      <w:r w:rsidRPr="007016F5">
        <w:t xml:space="preserve"> DPHHS administers the ESG Program </w:t>
      </w:r>
      <w:r>
        <w:t>as well as</w:t>
      </w:r>
      <w:r w:rsidRPr="007016F5">
        <w:t xml:space="preserve"> Montana’s cooperative partnership with North and South Dakota</w:t>
      </w:r>
      <w:r>
        <w:t>:</w:t>
      </w:r>
      <w:r w:rsidRPr="007016F5">
        <w:t xml:space="preserve"> </w:t>
      </w:r>
      <w:r>
        <w:t xml:space="preserve">the </w:t>
      </w:r>
      <w:r w:rsidRPr="007016F5">
        <w:t>Housing Opportunities for Persons with AIDS (HOPWA) Program (“Tri-State Housing Environments for Living Positively,” or “Tri-State HELP”)</w:t>
      </w:r>
      <w:r>
        <w:t>, which is funded via competitive award and not through a CPD formula grant</w:t>
      </w:r>
      <w:r w:rsidRPr="007016F5">
        <w:t>.</w:t>
      </w:r>
    </w:p>
    <w:p w14:paraId="1E89B75F" w14:textId="77777777" w:rsidR="000A6F75" w:rsidRDefault="000A6F75" w:rsidP="000A6F75"/>
    <w:p w14:paraId="244C7182" w14:textId="77777777" w:rsidR="000A6F75" w:rsidRDefault="000A6F75" w:rsidP="000A6F75">
      <w:pPr>
        <w:pStyle w:val="Heading3"/>
      </w:pPr>
      <w:r>
        <w:t>Consolidated Plan Public Contact Information</w:t>
      </w:r>
    </w:p>
    <w:p w14:paraId="23AB5255" w14:textId="6DD9FE55" w:rsidR="000A6F75" w:rsidRDefault="000A6F75" w:rsidP="000A6F75">
      <w:r>
        <w:t>Cheryl Cohen, Division Administrator</w:t>
      </w:r>
    </w:p>
    <w:p w14:paraId="7E825301" w14:textId="257753E3" w:rsidR="000A6F75" w:rsidRDefault="001C0497" w:rsidP="000A6F75">
      <w:r>
        <w:t>Montana Housing</w:t>
      </w:r>
    </w:p>
    <w:p w14:paraId="68B73C2E" w14:textId="77777777" w:rsidR="000A6F75" w:rsidRDefault="000A6F75" w:rsidP="000A6F75">
      <w:r>
        <w:t>Montana Department of Commerce</w:t>
      </w:r>
    </w:p>
    <w:p w14:paraId="588CA36D" w14:textId="5F3715DF" w:rsidR="000A6F75" w:rsidRDefault="000A6F75" w:rsidP="000A6F75">
      <w:r>
        <w:lastRenderedPageBreak/>
        <w:t>Phone: 406-841-2</w:t>
      </w:r>
      <w:r w:rsidR="64C50550">
        <w:t>840</w:t>
      </w:r>
    </w:p>
    <w:p w14:paraId="266669F6" w14:textId="77777777" w:rsidR="000A6F75" w:rsidRDefault="000A6F75" w:rsidP="000A6F75">
      <w:r>
        <w:t xml:space="preserve">Email: </w:t>
      </w:r>
      <w:hyperlink r:id="rId20" w:history="1">
        <w:r w:rsidRPr="003761A5">
          <w:rPr>
            <w:rStyle w:val="Hyperlink"/>
          </w:rPr>
          <w:t>DOCConPlan@mt.gov</w:t>
        </w:r>
      </w:hyperlink>
    </w:p>
    <w:p w14:paraId="41FBC248" w14:textId="0F06E5FC" w:rsidR="000A6F75" w:rsidRDefault="7D251058" w:rsidP="003B0A88">
      <w:r>
        <w:t xml:space="preserve">Web: </w:t>
      </w:r>
      <w:bookmarkStart w:id="21" w:name="_Hlk73085071"/>
      <w:r w:rsidR="000A6F75">
        <w:rPr>
          <w:color w:val="2B579A"/>
          <w:shd w:val="clear" w:color="auto" w:fill="E6E6E6"/>
        </w:rPr>
        <w:fldChar w:fldCharType="begin"/>
      </w:r>
      <w:r w:rsidR="000A6F75">
        <w:instrText xml:space="preserve"> HYPERLINK "https://commerce.mt.gov/Consolidated-Plan" </w:instrText>
      </w:r>
      <w:r w:rsidR="000A6F75">
        <w:rPr>
          <w:color w:val="2B579A"/>
          <w:shd w:val="clear" w:color="auto" w:fill="E6E6E6"/>
        </w:rPr>
      </w:r>
      <w:r w:rsidR="000A6F75">
        <w:rPr>
          <w:color w:val="2B579A"/>
          <w:shd w:val="clear" w:color="auto" w:fill="E6E6E6"/>
        </w:rPr>
        <w:fldChar w:fldCharType="separate"/>
      </w:r>
      <w:r w:rsidR="73E827D6" w:rsidRPr="3056A607">
        <w:rPr>
          <w:rStyle w:val="Hyperlink"/>
        </w:rPr>
        <w:t>https://commerce.mt.gov/Consolidated-Plan</w:t>
      </w:r>
      <w:r w:rsidR="000A6F75">
        <w:rPr>
          <w:color w:val="2B579A"/>
          <w:shd w:val="clear" w:color="auto" w:fill="E6E6E6"/>
        </w:rPr>
        <w:fldChar w:fldCharType="end"/>
      </w:r>
      <w:r w:rsidR="73E827D6">
        <w:t xml:space="preserve"> </w:t>
      </w:r>
    </w:p>
    <w:bookmarkEnd w:id="21"/>
    <w:p w14:paraId="339B643C" w14:textId="6AAC8A8D" w:rsidR="000A6F75" w:rsidRDefault="000A6F75" w:rsidP="000A6F75"/>
    <w:p w14:paraId="4FED43C5" w14:textId="68EE9496" w:rsidR="3B8D1724" w:rsidRDefault="23C6484F" w:rsidP="0AF95A31">
      <w:r>
        <w:t>Galen Steffens, Division Administrator</w:t>
      </w:r>
    </w:p>
    <w:p w14:paraId="26875701" w14:textId="2CF4D26D" w:rsidR="3B8D1724" w:rsidRDefault="23C6484F" w:rsidP="0AF95A31">
      <w:r>
        <w:t>Community MT</w:t>
      </w:r>
    </w:p>
    <w:p w14:paraId="07E686E2" w14:textId="6FA12FF1" w:rsidR="3B8D1724" w:rsidRDefault="23C6484F" w:rsidP="0AF95A31">
      <w:r>
        <w:t>Montana Department of Commerce</w:t>
      </w:r>
    </w:p>
    <w:p w14:paraId="6A97A289" w14:textId="0B6ED018" w:rsidR="3B8D1724" w:rsidRDefault="23C6484F" w:rsidP="0AF95A31">
      <w:r>
        <w:t>Phone: 406-841-2770</w:t>
      </w:r>
    </w:p>
    <w:p w14:paraId="17E9602B" w14:textId="762BD2E5" w:rsidR="3B8D1724" w:rsidRDefault="23C6484F" w:rsidP="0AF95A31">
      <w:r>
        <w:t xml:space="preserve">Email: </w:t>
      </w:r>
      <w:hyperlink r:id="rId21" w:history="1">
        <w:r w:rsidRPr="6EE14823">
          <w:rPr>
            <w:rStyle w:val="Hyperlink"/>
          </w:rPr>
          <w:t>DOCConPlan@mt.gov</w:t>
        </w:r>
      </w:hyperlink>
    </w:p>
    <w:p w14:paraId="318B3C80" w14:textId="379ED1F1" w:rsidR="3B8D1724" w:rsidRDefault="23C6484F" w:rsidP="6EE14823">
      <w:r>
        <w:t xml:space="preserve">Web: </w:t>
      </w:r>
      <w:hyperlink r:id="rId22" w:history="1">
        <w:hyperlink r:id="rId23" w:history="1">
          <w:r>
            <w:rPr>
              <w:rStyle w:val="Hyperlink"/>
            </w:rPr>
            <w:t>https://commerce.mt.gov/Consolidated-Plan</w:t>
          </w:r>
        </w:hyperlink>
      </w:hyperlink>
    </w:p>
    <w:p w14:paraId="0E1A7407" w14:textId="1799CEC8" w:rsidR="0AF95A31" w:rsidRDefault="0AF95A31" w:rsidP="0AF95A31"/>
    <w:p w14:paraId="0D203443" w14:textId="4FF5A689" w:rsidR="000A6F75" w:rsidRDefault="000A6F75" w:rsidP="003747A4">
      <w:pPr>
        <w:pStyle w:val="Heading2"/>
      </w:pPr>
      <w:bookmarkStart w:id="22" w:name="_Toc72413487"/>
      <w:r>
        <w:t>AP-</w:t>
      </w:r>
      <w:r w:rsidR="003747A4">
        <w:t>10</w:t>
      </w:r>
      <w:r>
        <w:t xml:space="preserve"> </w:t>
      </w:r>
      <w:r w:rsidR="003747A4">
        <w:t>Consultation</w:t>
      </w:r>
      <w:r>
        <w:t xml:space="preserve"> – 91.</w:t>
      </w:r>
      <w:r w:rsidR="003747A4">
        <w:t>110, 91.300(b), 91.315(l)</w:t>
      </w:r>
      <w:bookmarkEnd w:id="22"/>
    </w:p>
    <w:p w14:paraId="6B8A3DA3" w14:textId="31AFBE21" w:rsidR="003747A4" w:rsidRDefault="003747A4" w:rsidP="003747A4">
      <w:pPr>
        <w:pStyle w:val="Heading3"/>
      </w:pPr>
      <w:r>
        <w:t>1. Introduction</w:t>
      </w:r>
    </w:p>
    <w:p w14:paraId="175FD65C" w14:textId="78650FA0" w:rsidR="00E24396" w:rsidRDefault="00E24396" w:rsidP="00E24396">
      <w:r>
        <w:t xml:space="preserve">The State of Montana engaged in extensive consultation in the preparation of the 2020-2024 Consolidated Plan. The process provided a unifying opportunity for units of local government, the State of Montana, the public, interested organizations, and the private sector to take part in shaping Montana’s unique communities, vital public infrastructure, economic competitiveness, housing opportunities, and homelessness programs. </w:t>
      </w:r>
    </w:p>
    <w:p w14:paraId="52AF43D0" w14:textId="77777777" w:rsidR="00E24396" w:rsidRDefault="00E24396" w:rsidP="00E24396"/>
    <w:p w14:paraId="1CBFF52D" w14:textId="3A553309" w:rsidR="00E24396" w:rsidRDefault="00E24396" w:rsidP="00E24396">
      <w:r>
        <w:t xml:space="preserve">In addition to engaging the public </w:t>
      </w:r>
      <w:r w:rsidR="00B73E41">
        <w:t>as</w:t>
      </w:r>
      <w:r>
        <w:t xml:space="preserve"> outlined in the Citizen Participation Plan (</w:t>
      </w:r>
      <w:r w:rsidRPr="002273C3">
        <w:t>Appendix A</w:t>
      </w:r>
      <w:r>
        <w:t xml:space="preserve"> of the 2020-2024 Consolidated Plan), Commerce and DPHHS continually engage with other state and federal agencies, tribal and local governments, nonprofit organizations, and the private sector to prioritize annual program needs and goals.</w:t>
      </w:r>
    </w:p>
    <w:p w14:paraId="0E61E864" w14:textId="77777777" w:rsidR="003747A4" w:rsidRPr="003747A4" w:rsidRDefault="003747A4" w:rsidP="003747A4"/>
    <w:p w14:paraId="316B96CB" w14:textId="24EC01AE" w:rsidR="003747A4" w:rsidRDefault="003747A4" w:rsidP="0034090D">
      <w:pPr>
        <w:pStyle w:val="Heading4"/>
      </w:pPr>
      <w:r>
        <w:t>Provide a concise summary of the state’s activities to enhance coordination between public and assisted housing providers and private and governmental health, mental health and service agencies (91.215(l))</w:t>
      </w:r>
    </w:p>
    <w:p w14:paraId="57EC9F74" w14:textId="4A284C18" w:rsidR="00E24396" w:rsidRDefault="00E24396" w:rsidP="00E24396">
      <w:pPr>
        <w:rPr>
          <w:rFonts w:cstheme="minorHAnsi"/>
          <w:color w:val="000000"/>
        </w:rPr>
      </w:pPr>
      <w:r w:rsidRPr="00427C8B">
        <w:rPr>
          <w:rFonts w:cstheme="minorHAnsi"/>
          <w:color w:val="000000"/>
        </w:rPr>
        <w:t>The State of Montana strives to improve the delivery of housing and community development assistance to all Montanans. Commerce and DPHHS specifically support policies and programs that promote decent, safe, affordable housing and community services for the homeless and low-income households such as food banks, mental health centers, senior centers, and other facilities. Commerce and DPHHS maintain an email list of parties interested in the HUD-funded programs addressed in the</w:t>
      </w:r>
      <w:r>
        <w:rPr>
          <w:rFonts w:cstheme="minorHAnsi"/>
          <w:color w:val="000000"/>
        </w:rPr>
        <w:t xml:space="preserve"> </w:t>
      </w:r>
      <w:r w:rsidR="006216A8">
        <w:rPr>
          <w:rFonts w:cstheme="minorHAnsi"/>
          <w:color w:val="000000"/>
        </w:rPr>
        <w:t>2024-2025</w:t>
      </w:r>
      <w:r>
        <w:rPr>
          <w:rFonts w:cstheme="minorHAnsi"/>
          <w:color w:val="000000"/>
        </w:rPr>
        <w:t xml:space="preserve"> AAP</w:t>
      </w:r>
      <w:r w:rsidRPr="00427C8B">
        <w:rPr>
          <w:rFonts w:cstheme="minorHAnsi"/>
          <w:color w:val="000000"/>
        </w:rPr>
        <w:t xml:space="preserve">, as well as the planning process. Regular updates and information about the programs and the development, preparation, and review of the </w:t>
      </w:r>
      <w:r w:rsidR="006216A8">
        <w:rPr>
          <w:rFonts w:cstheme="minorHAnsi"/>
          <w:color w:val="000000"/>
        </w:rPr>
        <w:t>2024-2025</w:t>
      </w:r>
      <w:r w:rsidR="00076739">
        <w:rPr>
          <w:rFonts w:cstheme="minorHAnsi"/>
          <w:color w:val="000000"/>
        </w:rPr>
        <w:t xml:space="preserve"> AAP </w:t>
      </w:r>
      <w:r w:rsidRPr="00427C8B">
        <w:rPr>
          <w:rFonts w:cstheme="minorHAnsi"/>
          <w:color w:val="000000"/>
        </w:rPr>
        <w:t>are sent to this list, especially when soliciting public comment or providing notice of public meetings.</w:t>
      </w:r>
    </w:p>
    <w:p w14:paraId="542C1834" w14:textId="77777777" w:rsidR="00E24396" w:rsidRDefault="00E24396" w:rsidP="00E24396">
      <w:pPr>
        <w:rPr>
          <w:rFonts w:cstheme="minorHAnsi"/>
          <w:color w:val="000000"/>
        </w:rPr>
      </w:pPr>
    </w:p>
    <w:p w14:paraId="10212676" w14:textId="7BBDA339" w:rsidR="00E24396" w:rsidRPr="0023706D" w:rsidRDefault="5843B93E" w:rsidP="0023706D">
      <w:pPr>
        <w:pStyle w:val="NoSpacing"/>
        <w:ind w:left="-20" w:right="-20"/>
        <w:rPr>
          <w:rFonts w:eastAsiaTheme="minorEastAsia"/>
        </w:rPr>
      </w:pPr>
      <w:r w:rsidRPr="0023706D">
        <w:rPr>
          <w:rFonts w:eastAsiaTheme="minorEastAsia"/>
        </w:rPr>
        <w:t xml:space="preserve">Commerce is collaborating with DPHHS on the recently approved Healing and Ending Addiction Through Recovery and Treatment (HEART) waiver, offering Medicaid funded Tenancy Support Services. The HEART workgroup is currently creating policy language and </w:t>
      </w:r>
      <w:r w:rsidR="0364980A" w:rsidRPr="6BAB5C2E">
        <w:rPr>
          <w:rFonts w:eastAsiaTheme="minorEastAsia"/>
        </w:rPr>
        <w:t xml:space="preserve">proceeding through the </w:t>
      </w:r>
      <w:r w:rsidRPr="0023706D">
        <w:rPr>
          <w:rFonts w:eastAsiaTheme="minorEastAsia"/>
        </w:rPr>
        <w:t xml:space="preserve">Administrative Rule </w:t>
      </w:r>
      <w:r w:rsidR="7830F3DF" w:rsidRPr="6BAB5C2E">
        <w:rPr>
          <w:rFonts w:eastAsiaTheme="minorEastAsia"/>
        </w:rPr>
        <w:t xml:space="preserve">Making </w:t>
      </w:r>
      <w:r w:rsidRPr="0023706D">
        <w:rPr>
          <w:rFonts w:eastAsiaTheme="minorEastAsia"/>
        </w:rPr>
        <w:t>(ARMs)</w:t>
      </w:r>
      <w:r w:rsidR="4C9575B7" w:rsidRPr="6BAB5C2E">
        <w:rPr>
          <w:rFonts w:eastAsiaTheme="minorEastAsia"/>
        </w:rPr>
        <w:t xml:space="preserve"> process</w:t>
      </w:r>
      <w:r w:rsidRPr="0023706D">
        <w:rPr>
          <w:rFonts w:eastAsiaTheme="minorEastAsia"/>
        </w:rPr>
        <w:t xml:space="preserve"> to implement this new program, in partnership with current providers of tenancy support services.</w:t>
      </w:r>
    </w:p>
    <w:p w14:paraId="4E220D13" w14:textId="6492F871" w:rsidR="00E24396" w:rsidRPr="0023706D" w:rsidRDefault="00E24396" w:rsidP="6BAB5C2E">
      <w:pPr>
        <w:rPr>
          <w:rFonts w:eastAsiaTheme="minorEastAsia"/>
          <w:color w:val="000000"/>
        </w:rPr>
      </w:pPr>
    </w:p>
    <w:p w14:paraId="0993005D" w14:textId="077915FF" w:rsidR="002B69AE" w:rsidRDefault="002B69AE" w:rsidP="00A75DA5">
      <w:pPr>
        <w:pStyle w:val="Heading4"/>
        <w:rPr>
          <w:color w:val="000000" w:themeColor="text1"/>
        </w:rPr>
      </w:pPr>
      <w:r>
        <w:t>Describe coordination with the Continuum of Care and efforts to address the needs of homeless persons (particularly chronically homeless individuals and families, families with children, veterans, and unaccompanied youth) and persons at risk of homelessness</w:t>
      </w:r>
    </w:p>
    <w:p w14:paraId="128E740D" w14:textId="6C3C080F" w:rsidR="00E24396" w:rsidRDefault="00E24396" w:rsidP="331F13D3">
      <w:pPr>
        <w:rPr>
          <w:color w:val="000000"/>
        </w:rPr>
      </w:pPr>
      <w:r w:rsidRPr="331F13D3">
        <w:rPr>
          <w:color w:val="000000" w:themeColor="text1"/>
        </w:rPr>
        <w:t>The Montana Continuum of Care Coalition (</w:t>
      </w:r>
      <w:proofErr w:type="spellStart"/>
      <w:r w:rsidRPr="331F13D3">
        <w:rPr>
          <w:color w:val="000000" w:themeColor="text1"/>
        </w:rPr>
        <w:t>MTCoC</w:t>
      </w:r>
      <w:proofErr w:type="spellEnd"/>
      <w:r w:rsidRPr="331F13D3">
        <w:rPr>
          <w:color w:val="000000" w:themeColor="text1"/>
        </w:rPr>
        <w:t xml:space="preserve">) is a diverse statewide collaboration of homeless service providers including nonprofits, faith-based organizations, and local </w:t>
      </w:r>
      <w:r w:rsidR="70726C17" w:rsidRPr="331F13D3">
        <w:rPr>
          <w:color w:val="000000" w:themeColor="text1"/>
        </w:rPr>
        <w:t xml:space="preserve">governments </w:t>
      </w:r>
      <w:r w:rsidRPr="331F13D3">
        <w:rPr>
          <w:color w:val="000000" w:themeColor="text1"/>
        </w:rPr>
        <w:t xml:space="preserve">and state </w:t>
      </w:r>
      <w:r w:rsidR="581A3941">
        <w:t xml:space="preserve">agencies </w:t>
      </w:r>
      <w:r>
        <w:t>dedicated to planning and coordinating programs to make homelessness rare, brief, and one-</w:t>
      </w:r>
      <w:r>
        <w:lastRenderedPageBreak/>
        <w:t>time only</w:t>
      </w:r>
      <w:r w:rsidRPr="331F13D3">
        <w:rPr>
          <w:color w:val="000000" w:themeColor="text1"/>
        </w:rPr>
        <w:t xml:space="preserve">. The Coalition was established for the purpose of carrying out the duties of the national Continuum of Care program, as provided for in federal statute 24 CFR Part 578. The </w:t>
      </w:r>
      <w:proofErr w:type="spellStart"/>
      <w:r w:rsidRPr="331F13D3">
        <w:rPr>
          <w:color w:val="000000" w:themeColor="text1"/>
        </w:rPr>
        <w:t>MTCoC</w:t>
      </w:r>
      <w:proofErr w:type="spellEnd"/>
      <w:r w:rsidRPr="331F13D3">
        <w:rPr>
          <w:color w:val="000000" w:themeColor="text1"/>
        </w:rPr>
        <w:t xml:space="preserve"> system is predicated upon community and regionally based continuum of care systems, which form the statewide coalition and continuum of care process. Commerce and DPHHS are involved in </w:t>
      </w:r>
      <w:proofErr w:type="spellStart"/>
      <w:r w:rsidRPr="331F13D3">
        <w:rPr>
          <w:color w:val="000000" w:themeColor="text1"/>
        </w:rPr>
        <w:t>MTCoC</w:t>
      </w:r>
      <w:proofErr w:type="spellEnd"/>
      <w:r w:rsidRPr="331F13D3">
        <w:rPr>
          <w:color w:val="000000" w:themeColor="text1"/>
        </w:rPr>
        <w:t xml:space="preserve"> meetings and committees. The </w:t>
      </w:r>
      <w:proofErr w:type="spellStart"/>
      <w:r w:rsidRPr="331F13D3">
        <w:rPr>
          <w:color w:val="000000" w:themeColor="text1"/>
        </w:rPr>
        <w:t>MTCoC</w:t>
      </w:r>
      <w:proofErr w:type="spellEnd"/>
      <w:r w:rsidRPr="331F13D3">
        <w:rPr>
          <w:color w:val="000000" w:themeColor="text1"/>
        </w:rPr>
        <w:t xml:space="preserve"> coordinator participated in the development, preparation, and review of the 2020-2024 Consolidated Plan.</w:t>
      </w:r>
    </w:p>
    <w:p w14:paraId="7E06D2E3" w14:textId="77777777" w:rsidR="00E24396" w:rsidRPr="00CE6A2F" w:rsidRDefault="00E24396" w:rsidP="00E24396">
      <w:pPr>
        <w:rPr>
          <w:rFonts w:cstheme="minorHAnsi"/>
          <w:color w:val="000000"/>
        </w:rPr>
      </w:pPr>
    </w:p>
    <w:p w14:paraId="66D54932" w14:textId="5523808B" w:rsidR="00E24396" w:rsidRDefault="5DAF4F65" w:rsidP="2F69EFA0">
      <w:pPr>
        <w:rPr>
          <w:color w:val="000000"/>
        </w:rPr>
      </w:pPr>
      <w:r w:rsidRPr="6EE14823">
        <w:rPr>
          <w:color w:val="000000" w:themeColor="text1"/>
        </w:rPr>
        <w:t xml:space="preserve">Funds for permanent supportive housing and rapid rehousing across Montana are available on a competitive basis through the State’s </w:t>
      </w:r>
      <w:proofErr w:type="spellStart"/>
      <w:r w:rsidRPr="6EE14823">
        <w:rPr>
          <w:color w:val="000000" w:themeColor="text1"/>
        </w:rPr>
        <w:t>MTCoC</w:t>
      </w:r>
      <w:proofErr w:type="spellEnd"/>
      <w:r w:rsidRPr="6EE14823">
        <w:rPr>
          <w:color w:val="000000" w:themeColor="text1"/>
        </w:rPr>
        <w:t xml:space="preserve"> process. The 12 regional </w:t>
      </w:r>
      <w:proofErr w:type="spellStart"/>
      <w:r w:rsidRPr="6EE14823">
        <w:rPr>
          <w:color w:val="000000" w:themeColor="text1"/>
        </w:rPr>
        <w:t>MTCoC</w:t>
      </w:r>
      <w:proofErr w:type="spellEnd"/>
      <w:r w:rsidRPr="6EE14823">
        <w:rPr>
          <w:color w:val="000000" w:themeColor="text1"/>
        </w:rPr>
        <w:t xml:space="preserve"> districts, housed within the state’s 10 Human Resource Development Councils (HRDCs), serve the entire state of Montana with homeless assistance funds. Each of these regional </w:t>
      </w:r>
      <w:proofErr w:type="spellStart"/>
      <w:r w:rsidRPr="6EE14823">
        <w:rPr>
          <w:color w:val="000000" w:themeColor="text1"/>
        </w:rPr>
        <w:t>MTCoC</w:t>
      </w:r>
      <w:proofErr w:type="spellEnd"/>
      <w:r w:rsidRPr="6EE14823">
        <w:rPr>
          <w:color w:val="000000" w:themeColor="text1"/>
        </w:rPr>
        <w:t xml:space="preserve"> districts provides specific services of crisis stabilization and housing supports for veterans, unaccompanied youth, families with children, and chronically homeless individuals and families. </w:t>
      </w:r>
    </w:p>
    <w:p w14:paraId="3A81E7DF" w14:textId="24A92D4E" w:rsidR="002B69AE" w:rsidRDefault="002B69AE" w:rsidP="002B69AE"/>
    <w:p w14:paraId="574B00C1" w14:textId="77777777" w:rsidR="002B69AE" w:rsidRPr="00EC15BF" w:rsidRDefault="002B69AE" w:rsidP="002B69AE">
      <w:pPr>
        <w:pStyle w:val="Heading4"/>
      </w:pPr>
      <w:r w:rsidRPr="00EC15BF">
        <w:t>Describe consultation with the Continuum(s) of Care that serves the state in determining how to allocate ESG funds, develop performance standards and evaluate outcomes, and develop funding, policies and procedures for the administration of HMIS</w:t>
      </w:r>
    </w:p>
    <w:p w14:paraId="1CE3FEB8" w14:textId="71E7B0CF" w:rsidR="00E24396" w:rsidRDefault="6398147C" w:rsidP="2F69EFA0">
      <w:pPr>
        <w:rPr>
          <w:color w:val="000000"/>
        </w:rPr>
      </w:pPr>
      <w:r w:rsidRPr="6BAB5C2E">
        <w:rPr>
          <w:color w:val="000000" w:themeColor="text1"/>
        </w:rPr>
        <w:t xml:space="preserve">DPHHS has an invested and integral role with the </w:t>
      </w:r>
      <w:proofErr w:type="spellStart"/>
      <w:r w:rsidRPr="6BAB5C2E">
        <w:rPr>
          <w:color w:val="000000" w:themeColor="text1"/>
        </w:rPr>
        <w:t>MTCoC</w:t>
      </w:r>
      <w:proofErr w:type="spellEnd"/>
      <w:r w:rsidRPr="6BAB5C2E">
        <w:rPr>
          <w:color w:val="000000" w:themeColor="text1"/>
        </w:rPr>
        <w:t xml:space="preserve">. They coordinate strategy with ESG and participate in regular monthly meetings. </w:t>
      </w:r>
      <w:bookmarkStart w:id="23" w:name="_Hlk62226055"/>
      <w:r w:rsidRPr="6BAB5C2E">
        <w:rPr>
          <w:color w:val="000000" w:themeColor="text1"/>
        </w:rPr>
        <w:t xml:space="preserve">The </w:t>
      </w:r>
      <w:proofErr w:type="spellStart"/>
      <w:r w:rsidRPr="6BAB5C2E">
        <w:rPr>
          <w:color w:val="000000" w:themeColor="text1"/>
        </w:rPr>
        <w:t>MTCoC</w:t>
      </w:r>
      <w:proofErr w:type="spellEnd"/>
      <w:r w:rsidRPr="6BAB5C2E">
        <w:rPr>
          <w:color w:val="000000" w:themeColor="text1"/>
        </w:rPr>
        <w:t xml:space="preserve"> and DPHHS have a joint agreement and policy statement affirming their mutual guidance for Montana’s use of ESG funds</w:t>
      </w:r>
      <w:bookmarkEnd w:id="23"/>
      <w:r w:rsidR="52E420F1" w:rsidRPr="6BAB5C2E">
        <w:rPr>
          <w:color w:val="000000" w:themeColor="text1"/>
        </w:rPr>
        <w:t>.</w:t>
      </w:r>
      <w:r w:rsidR="001B387E">
        <w:rPr>
          <w:color w:val="000000" w:themeColor="text1"/>
        </w:rPr>
        <w:t xml:space="preserve"> </w:t>
      </w:r>
      <w:r w:rsidRPr="6BAB5C2E">
        <w:rPr>
          <w:color w:val="000000" w:themeColor="text1"/>
        </w:rPr>
        <w:t xml:space="preserve">Subrecipients of ESG must use </w:t>
      </w:r>
      <w:r w:rsidR="76E55DBF" w:rsidRPr="6BAB5C2E">
        <w:rPr>
          <w:color w:val="000000" w:themeColor="text1"/>
        </w:rPr>
        <w:t xml:space="preserve">the </w:t>
      </w:r>
      <w:r>
        <w:t>Homeless Management Information System (</w:t>
      </w:r>
      <w:r w:rsidRPr="6BAB5C2E">
        <w:rPr>
          <w:color w:val="000000" w:themeColor="text1"/>
        </w:rPr>
        <w:t>HMIS) and work</w:t>
      </w:r>
      <w:r>
        <w:t xml:space="preserve"> with their local Coordinated Entry System (CES) to operate the program. DPHHS is no longer the leading agent for HMIS; however, continues to be involved in HMIS development, training, and regular data cleaning.</w:t>
      </w:r>
    </w:p>
    <w:p w14:paraId="093BD445" w14:textId="72BD2F27" w:rsidR="002B69AE" w:rsidRDefault="002B69AE" w:rsidP="002B69AE"/>
    <w:p w14:paraId="0C9197AE" w14:textId="77777777" w:rsidR="002B69AE" w:rsidRDefault="002B69AE" w:rsidP="002B69AE">
      <w:pPr>
        <w:pStyle w:val="Heading3"/>
      </w:pPr>
      <w:r w:rsidRPr="00EC15BF">
        <w:t>2.</w:t>
      </w:r>
      <w:r>
        <w:t xml:space="preserve"> </w:t>
      </w:r>
      <w:r w:rsidRPr="00EC15BF">
        <w:t>Describe Agencies, groups, organizations and others who participated in the process and describe the jurisdictions consultations with housing, social service agencies and other entities</w:t>
      </w:r>
    </w:p>
    <w:p w14:paraId="08F859AA" w14:textId="77777777" w:rsidR="002B69AE" w:rsidRDefault="002B69AE" w:rsidP="002B69AE">
      <w:pPr>
        <w:pStyle w:val="TableCaption"/>
      </w:pPr>
      <w:bookmarkStart w:id="24" w:name="_Toc56449233"/>
      <w:bookmarkStart w:id="25" w:name="_Toc61552473"/>
      <w:bookmarkStart w:id="26" w:name="_Toc70505074"/>
    </w:p>
    <w:p w14:paraId="36CAE367" w14:textId="77777777" w:rsidR="00076739" w:rsidRDefault="35AA4CC5" w:rsidP="00076739">
      <w:pPr>
        <w:pStyle w:val="TableCaption"/>
      </w:pPr>
      <w:bookmarkStart w:id="27" w:name="_Toc73081439"/>
      <w:bookmarkEnd w:id="24"/>
      <w:bookmarkEnd w:id="25"/>
      <w:bookmarkEnd w:id="26"/>
      <w:r>
        <w:t>Table 2 – Agencies, Groups, Organizations who Participated</w:t>
      </w:r>
      <w:bookmarkEnd w:id="27"/>
    </w:p>
    <w:tbl>
      <w:tblPr>
        <w:tblW w:w="96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gencies, Groups, Organizations who Participated (Table 2)"/>
        <w:tblDescription w:val="This table shows the agencies, groups, and organizations who participated in the Consolidated Plan process."/>
      </w:tblPr>
      <w:tblGrid>
        <w:gridCol w:w="580"/>
        <w:gridCol w:w="1665"/>
        <w:gridCol w:w="1350"/>
        <w:gridCol w:w="4140"/>
        <w:gridCol w:w="1926"/>
      </w:tblGrid>
      <w:tr w:rsidR="0073118A" w:rsidRPr="0041544A" w14:paraId="45F7EA17" w14:textId="77777777" w:rsidTr="6EE14823">
        <w:trPr>
          <w:cantSplit/>
          <w:tblHeader/>
        </w:trPr>
        <w:tc>
          <w:tcPr>
            <w:tcW w:w="580" w:type="dxa"/>
            <w:shd w:val="clear" w:color="auto" w:fill="C5D4D5"/>
            <w:vAlign w:val="center"/>
          </w:tcPr>
          <w:p w14:paraId="2082A9B5"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w:t>
            </w:r>
          </w:p>
        </w:tc>
        <w:tc>
          <w:tcPr>
            <w:tcW w:w="1665" w:type="dxa"/>
            <w:shd w:val="clear" w:color="auto" w:fill="C5D4D5"/>
            <w:vAlign w:val="center"/>
          </w:tcPr>
          <w:p w14:paraId="4FB53C93"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theme="minorHAnsi"/>
                <w:sz w:val="20"/>
                <w:szCs w:val="20"/>
              </w:rPr>
            </w:pPr>
            <w:r w:rsidRPr="0041544A">
              <w:rPr>
                <w:rFonts w:eastAsia="Calibri" w:cstheme="minorHAnsi"/>
                <w:sz w:val="20"/>
                <w:szCs w:val="20"/>
              </w:rPr>
              <w:t>Agency/Group/</w:t>
            </w:r>
          </w:p>
          <w:p w14:paraId="76E1B99A"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theme="minorHAnsi"/>
                <w:sz w:val="20"/>
                <w:szCs w:val="20"/>
              </w:rPr>
            </w:pPr>
            <w:r w:rsidRPr="0041544A">
              <w:rPr>
                <w:rFonts w:eastAsia="Calibri" w:cstheme="minorHAnsi"/>
                <w:sz w:val="20"/>
                <w:szCs w:val="20"/>
              </w:rPr>
              <w:t>Organization</w:t>
            </w:r>
          </w:p>
        </w:tc>
        <w:tc>
          <w:tcPr>
            <w:tcW w:w="1350" w:type="dxa"/>
            <w:shd w:val="clear" w:color="auto" w:fill="C5D4D5"/>
            <w:vAlign w:val="center"/>
          </w:tcPr>
          <w:p w14:paraId="4C9A3FDB"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theme="minorHAnsi"/>
                <w:sz w:val="20"/>
                <w:szCs w:val="20"/>
              </w:rPr>
            </w:pPr>
            <w:r w:rsidRPr="0041544A">
              <w:rPr>
                <w:rFonts w:eastAsia="Calibri" w:cstheme="minorHAnsi"/>
                <w:sz w:val="20"/>
                <w:szCs w:val="20"/>
              </w:rPr>
              <w:t>Type(s)</w:t>
            </w:r>
          </w:p>
        </w:tc>
        <w:tc>
          <w:tcPr>
            <w:tcW w:w="4140" w:type="dxa"/>
            <w:shd w:val="clear" w:color="auto" w:fill="C5D4D5"/>
            <w:vAlign w:val="center"/>
          </w:tcPr>
          <w:p w14:paraId="54909896"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theme="minorHAnsi"/>
                <w:sz w:val="20"/>
                <w:szCs w:val="20"/>
              </w:rPr>
            </w:pPr>
            <w:r w:rsidRPr="0041544A">
              <w:rPr>
                <w:rFonts w:eastAsia="Calibri" w:cstheme="minorHAnsi"/>
                <w:sz w:val="20"/>
                <w:szCs w:val="20"/>
              </w:rPr>
              <w:t>What Section of the Plan Was Addressed by Consultation?</w:t>
            </w:r>
          </w:p>
        </w:tc>
        <w:tc>
          <w:tcPr>
            <w:tcW w:w="1926" w:type="dxa"/>
            <w:shd w:val="clear" w:color="auto" w:fill="C5D4D5"/>
            <w:vAlign w:val="center"/>
          </w:tcPr>
          <w:p w14:paraId="4A3A9F23"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cstheme="minorHAnsi"/>
                <w:sz w:val="20"/>
                <w:szCs w:val="20"/>
              </w:rPr>
            </w:pPr>
            <w:r w:rsidRPr="0041544A">
              <w:rPr>
                <w:rFonts w:eastAsia="Calibri" w:cstheme="minorHAnsi"/>
                <w:sz w:val="20"/>
                <w:szCs w:val="20"/>
              </w:rPr>
              <w:t>Action</w:t>
            </w:r>
          </w:p>
        </w:tc>
      </w:tr>
      <w:tr w:rsidR="0073118A" w:rsidRPr="0041544A" w14:paraId="61ED56F2" w14:textId="77777777" w:rsidTr="6EE14823">
        <w:trPr>
          <w:cantSplit/>
        </w:trPr>
        <w:tc>
          <w:tcPr>
            <w:tcW w:w="580" w:type="dxa"/>
            <w:shd w:val="clear" w:color="auto" w:fill="auto"/>
          </w:tcPr>
          <w:p w14:paraId="52DC4F2B"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Calibri" w:cstheme="minorHAnsi"/>
                <w:sz w:val="20"/>
                <w:szCs w:val="20"/>
              </w:rPr>
            </w:pPr>
            <w:r w:rsidRPr="0041544A">
              <w:rPr>
                <w:rFonts w:eastAsia="Calibri" w:cstheme="minorHAnsi"/>
                <w:sz w:val="20"/>
                <w:szCs w:val="20"/>
              </w:rPr>
              <w:t>1</w:t>
            </w:r>
          </w:p>
        </w:tc>
        <w:tc>
          <w:tcPr>
            <w:tcW w:w="1665" w:type="dxa"/>
            <w:shd w:val="clear" w:color="auto" w:fill="DDE6E7"/>
          </w:tcPr>
          <w:p w14:paraId="68D60427"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Montana Department of Commerce (Commerce)</w:t>
            </w:r>
          </w:p>
        </w:tc>
        <w:tc>
          <w:tcPr>
            <w:tcW w:w="1350" w:type="dxa"/>
            <w:shd w:val="clear" w:color="auto" w:fill="DDE6E7"/>
          </w:tcPr>
          <w:p w14:paraId="756A3CB5"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State</w:t>
            </w:r>
          </w:p>
        </w:tc>
        <w:tc>
          <w:tcPr>
            <w:tcW w:w="4140" w:type="dxa"/>
            <w:shd w:val="clear" w:color="auto" w:fill="DDE6E7"/>
          </w:tcPr>
          <w:p w14:paraId="07A7E537"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w:t>
            </w:r>
          </w:p>
        </w:tc>
        <w:tc>
          <w:tcPr>
            <w:tcW w:w="1926" w:type="dxa"/>
            <w:shd w:val="clear" w:color="auto" w:fill="DDE6E7"/>
          </w:tcPr>
          <w:p w14:paraId="4F113364" w14:textId="475E56CB"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 xml:space="preserve">Attended planning meetings to develop </w:t>
            </w:r>
            <w:r>
              <w:rPr>
                <w:rFonts w:eastAsia="Calibri" w:cstheme="minorHAnsi"/>
                <w:sz w:val="20"/>
                <w:szCs w:val="20"/>
              </w:rPr>
              <w:t>p</w:t>
            </w:r>
            <w:r w:rsidRPr="0041544A">
              <w:rPr>
                <w:rFonts w:eastAsia="Calibri" w:cstheme="minorHAnsi"/>
                <w:sz w:val="20"/>
                <w:szCs w:val="20"/>
              </w:rPr>
              <w:t xml:space="preserve">lan sections; included on email listserv; participated as public repository; attended public </w:t>
            </w:r>
            <w:r w:rsidR="006D1AD3">
              <w:rPr>
                <w:rFonts w:eastAsia="Calibri" w:cstheme="minorHAnsi"/>
                <w:sz w:val="20"/>
                <w:szCs w:val="20"/>
              </w:rPr>
              <w:t>hearing</w:t>
            </w:r>
          </w:p>
        </w:tc>
      </w:tr>
      <w:tr w:rsidR="0073118A" w:rsidRPr="0041544A" w14:paraId="5B50C4A0" w14:textId="77777777" w:rsidTr="6EE14823">
        <w:trPr>
          <w:cantSplit/>
        </w:trPr>
        <w:tc>
          <w:tcPr>
            <w:tcW w:w="580" w:type="dxa"/>
            <w:shd w:val="clear" w:color="auto" w:fill="auto"/>
          </w:tcPr>
          <w:p w14:paraId="692D7706"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Calibri" w:cstheme="minorHAnsi"/>
                <w:sz w:val="20"/>
                <w:szCs w:val="20"/>
              </w:rPr>
            </w:pPr>
            <w:r w:rsidRPr="0041544A">
              <w:rPr>
                <w:rFonts w:eastAsia="Calibri" w:cstheme="minorHAnsi"/>
                <w:sz w:val="20"/>
                <w:szCs w:val="20"/>
              </w:rPr>
              <w:t>2</w:t>
            </w:r>
          </w:p>
        </w:tc>
        <w:tc>
          <w:tcPr>
            <w:tcW w:w="1665" w:type="dxa"/>
            <w:shd w:val="clear" w:color="auto" w:fill="DDE6E7"/>
          </w:tcPr>
          <w:p w14:paraId="103C1DB7"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Monta</w:t>
            </w:r>
            <w:r>
              <w:rPr>
                <w:rFonts w:eastAsia="Calibri" w:cstheme="minorHAnsi"/>
                <w:sz w:val="20"/>
                <w:szCs w:val="20"/>
              </w:rPr>
              <w:t>na Department of Public Health and</w:t>
            </w:r>
            <w:r w:rsidRPr="0041544A">
              <w:rPr>
                <w:rFonts w:eastAsia="Calibri" w:cstheme="minorHAnsi"/>
                <w:sz w:val="20"/>
                <w:szCs w:val="20"/>
              </w:rPr>
              <w:t xml:space="preserve"> Human Services (DPHHS)</w:t>
            </w:r>
          </w:p>
        </w:tc>
        <w:tc>
          <w:tcPr>
            <w:tcW w:w="1350" w:type="dxa"/>
            <w:shd w:val="clear" w:color="auto" w:fill="DDE6E7"/>
          </w:tcPr>
          <w:p w14:paraId="6D4CA49C"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State</w:t>
            </w:r>
          </w:p>
        </w:tc>
        <w:tc>
          <w:tcPr>
            <w:tcW w:w="4140" w:type="dxa"/>
            <w:shd w:val="clear" w:color="auto" w:fill="DDE6E7"/>
          </w:tcPr>
          <w:p w14:paraId="3053D82E"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Housing Needs Assessment; Homeless Needs – Chronically Homeless; Homeless Needs – Families with Children; Homelessness Needs – Veterans; Homelessness Needs – Unaccompanied Youth; Homelessness Strategy; Non-Homeless Special Needs; HOPWA Strategy; Lead-Based Paint Strategy; Anti-Poverty Strategy</w:t>
            </w:r>
          </w:p>
        </w:tc>
        <w:tc>
          <w:tcPr>
            <w:tcW w:w="1926" w:type="dxa"/>
            <w:shd w:val="clear" w:color="auto" w:fill="DDE6E7"/>
          </w:tcPr>
          <w:p w14:paraId="1B991895" w14:textId="382D929D"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Attende</w:t>
            </w:r>
            <w:r>
              <w:rPr>
                <w:rFonts w:eastAsia="Calibri" w:cstheme="minorHAnsi"/>
                <w:sz w:val="20"/>
                <w:szCs w:val="20"/>
              </w:rPr>
              <w:t>d planning meetings to develop p</w:t>
            </w:r>
            <w:r w:rsidRPr="0041544A">
              <w:rPr>
                <w:rFonts w:eastAsia="Calibri" w:cstheme="minorHAnsi"/>
                <w:sz w:val="20"/>
                <w:szCs w:val="20"/>
              </w:rPr>
              <w:t xml:space="preserve">lan sections; included on email listserv; participated as public repository; attended public </w:t>
            </w:r>
            <w:r w:rsidR="006D1AD3">
              <w:rPr>
                <w:rFonts w:eastAsia="Calibri" w:cstheme="minorHAnsi"/>
                <w:sz w:val="20"/>
                <w:szCs w:val="20"/>
              </w:rPr>
              <w:t>hearing</w:t>
            </w:r>
          </w:p>
        </w:tc>
      </w:tr>
      <w:tr w:rsidR="00637995" w14:paraId="666A9403" w14:textId="77777777" w:rsidTr="6EE14823">
        <w:trPr>
          <w:cantSplit/>
          <w:trHeight w:val="300"/>
        </w:trPr>
        <w:tc>
          <w:tcPr>
            <w:tcW w:w="580" w:type="dxa"/>
          </w:tcPr>
          <w:p w14:paraId="7C09C8D0" w14:textId="3A6EBA62" w:rsidR="78AEA5AB" w:rsidRDefault="2FFE0060" w:rsidP="68D5A60B">
            <w:pPr>
              <w:spacing w:line="276" w:lineRule="auto"/>
              <w:jc w:val="both"/>
              <w:rPr>
                <w:rFonts w:eastAsia="Calibri"/>
                <w:sz w:val="20"/>
                <w:szCs w:val="20"/>
              </w:rPr>
            </w:pPr>
            <w:r w:rsidRPr="30C7FF53">
              <w:rPr>
                <w:rFonts w:eastAsia="Calibri"/>
                <w:sz w:val="20"/>
                <w:szCs w:val="20"/>
              </w:rPr>
              <w:t>3</w:t>
            </w:r>
          </w:p>
        </w:tc>
        <w:tc>
          <w:tcPr>
            <w:tcW w:w="1665" w:type="dxa"/>
          </w:tcPr>
          <w:p w14:paraId="53111150" w14:textId="15EE63E4" w:rsidR="78AEA5AB" w:rsidRDefault="2FFE0060" w:rsidP="68D5A60B">
            <w:pPr>
              <w:spacing w:line="276" w:lineRule="auto"/>
              <w:rPr>
                <w:rFonts w:eastAsia="Calibri"/>
                <w:sz w:val="20"/>
                <w:szCs w:val="20"/>
              </w:rPr>
            </w:pPr>
            <w:r w:rsidRPr="30C7FF53">
              <w:rPr>
                <w:rFonts w:eastAsia="Calibri"/>
                <w:sz w:val="20"/>
                <w:szCs w:val="20"/>
              </w:rPr>
              <w:t>Ability Montana</w:t>
            </w:r>
          </w:p>
        </w:tc>
        <w:tc>
          <w:tcPr>
            <w:tcW w:w="1350" w:type="dxa"/>
          </w:tcPr>
          <w:p w14:paraId="362D622F" w14:textId="0C667943" w:rsidR="78AEA5AB" w:rsidRDefault="2FFE0060" w:rsidP="68D5A60B">
            <w:pPr>
              <w:spacing w:line="276" w:lineRule="auto"/>
              <w:rPr>
                <w:rFonts w:eastAsia="Calibri"/>
                <w:sz w:val="20"/>
                <w:szCs w:val="20"/>
              </w:rPr>
            </w:pPr>
            <w:r w:rsidRPr="30C7FF53">
              <w:rPr>
                <w:rFonts w:eastAsia="Calibri"/>
                <w:sz w:val="20"/>
                <w:szCs w:val="20"/>
              </w:rPr>
              <w:t>Regional Organization</w:t>
            </w:r>
          </w:p>
        </w:tc>
        <w:tc>
          <w:tcPr>
            <w:tcW w:w="4140" w:type="dxa"/>
          </w:tcPr>
          <w:p w14:paraId="0FD1CFA0" w14:textId="20D0C36B" w:rsidR="68D5A60B" w:rsidRDefault="68D5A60B" w:rsidP="68D5A60B">
            <w:pPr>
              <w:spacing w:line="276" w:lineRule="auto"/>
              <w:rPr>
                <w:rFonts w:eastAsia="Calibri"/>
                <w:sz w:val="20"/>
                <w:szCs w:val="20"/>
              </w:rPr>
            </w:pPr>
          </w:p>
        </w:tc>
        <w:tc>
          <w:tcPr>
            <w:tcW w:w="1926" w:type="dxa"/>
          </w:tcPr>
          <w:p w14:paraId="42F2EEBE" w14:textId="001E9CCC" w:rsidR="78AEA5AB" w:rsidRDefault="2FFE0060" w:rsidP="68D5A60B">
            <w:pPr>
              <w:spacing w:line="276" w:lineRule="auto"/>
              <w:rPr>
                <w:rFonts w:eastAsia="Calibri"/>
                <w:sz w:val="20"/>
                <w:szCs w:val="20"/>
              </w:rPr>
            </w:pPr>
            <w:r w:rsidRPr="30C7FF53">
              <w:rPr>
                <w:rFonts w:eastAsia="Calibri"/>
                <w:sz w:val="20"/>
                <w:szCs w:val="20"/>
              </w:rPr>
              <w:t>Participated as public repository</w:t>
            </w:r>
          </w:p>
        </w:tc>
      </w:tr>
      <w:tr w:rsidR="00637995" w:rsidRPr="0041544A" w14:paraId="669F629F" w14:textId="77777777" w:rsidTr="6EE14823">
        <w:trPr>
          <w:cantSplit/>
        </w:trPr>
        <w:tc>
          <w:tcPr>
            <w:tcW w:w="580" w:type="dxa"/>
          </w:tcPr>
          <w:p w14:paraId="44940651" w14:textId="636CFB6C" w:rsidR="00076739" w:rsidRPr="0041544A" w:rsidRDefault="30D7357C" w:rsidP="54FDEEE5">
            <w:pPr>
              <w:spacing w:line="276" w:lineRule="auto"/>
              <w:jc w:val="both"/>
              <w:rPr>
                <w:rFonts w:eastAsia="Calibri"/>
                <w:sz w:val="20"/>
                <w:szCs w:val="20"/>
              </w:rPr>
            </w:pPr>
            <w:r w:rsidRPr="30C7FF53">
              <w:rPr>
                <w:rFonts w:eastAsia="Calibri"/>
                <w:sz w:val="20"/>
                <w:szCs w:val="20"/>
              </w:rPr>
              <w:lastRenderedPageBreak/>
              <w:t>4</w:t>
            </w:r>
          </w:p>
        </w:tc>
        <w:tc>
          <w:tcPr>
            <w:tcW w:w="1665" w:type="dxa"/>
          </w:tcPr>
          <w:p w14:paraId="7DC3233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A.W.A.R.E., Inc., </w:t>
            </w:r>
          </w:p>
        </w:tc>
        <w:tc>
          <w:tcPr>
            <w:tcW w:w="1350" w:type="dxa"/>
          </w:tcPr>
          <w:p w14:paraId="422C0F3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2F50770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w:t>
            </w:r>
          </w:p>
        </w:tc>
        <w:tc>
          <w:tcPr>
            <w:tcW w:w="1926" w:type="dxa"/>
          </w:tcPr>
          <w:p w14:paraId="3CF38E1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360847DE" w14:textId="77777777" w:rsidTr="6EE14823">
        <w:trPr>
          <w:cantSplit/>
        </w:trPr>
        <w:tc>
          <w:tcPr>
            <w:tcW w:w="580" w:type="dxa"/>
          </w:tcPr>
          <w:p w14:paraId="0B974C2D" w14:textId="0D55F488" w:rsidR="00076739" w:rsidRPr="0041544A" w:rsidRDefault="7DBEB8E8">
            <w:pPr>
              <w:spacing w:line="276" w:lineRule="auto"/>
              <w:jc w:val="both"/>
              <w:rPr>
                <w:rFonts w:ascii="Calibri" w:eastAsia="Calibri" w:hAnsi="Calibri" w:cs="Calibri"/>
                <w:sz w:val="20"/>
                <w:szCs w:val="20"/>
              </w:rPr>
            </w:pPr>
            <w:r w:rsidRPr="30C7FF53">
              <w:rPr>
                <w:rFonts w:eastAsia="Calibri"/>
                <w:sz w:val="20"/>
                <w:szCs w:val="20"/>
              </w:rPr>
              <w:t>5</w:t>
            </w:r>
          </w:p>
        </w:tc>
        <w:tc>
          <w:tcPr>
            <w:tcW w:w="1665" w:type="dxa"/>
          </w:tcPr>
          <w:p w14:paraId="465208B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Action for Eastern Montana</w:t>
            </w:r>
          </w:p>
        </w:tc>
        <w:tc>
          <w:tcPr>
            <w:tcW w:w="1350" w:type="dxa"/>
          </w:tcPr>
          <w:p w14:paraId="5425B21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Regional organization </w:t>
            </w:r>
          </w:p>
        </w:tc>
        <w:tc>
          <w:tcPr>
            <w:tcW w:w="4140" w:type="dxa"/>
          </w:tcPr>
          <w:p w14:paraId="452F0DF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w:t>
            </w:r>
          </w:p>
        </w:tc>
        <w:tc>
          <w:tcPr>
            <w:tcW w:w="1926" w:type="dxa"/>
          </w:tcPr>
          <w:p w14:paraId="39380AEF" w14:textId="77777777" w:rsidR="00076739" w:rsidRPr="0041544A" w:rsidRDefault="00076739" w:rsidP="00076739">
            <w:pPr>
              <w:spacing w:line="276" w:lineRule="auto"/>
              <w:rPr>
                <w:rFonts w:eastAsia="Calibri" w:cstheme="minorHAnsi"/>
                <w:sz w:val="20"/>
                <w:szCs w:val="20"/>
              </w:rPr>
            </w:pPr>
            <w:r w:rsidRPr="00E04CAF">
              <w:rPr>
                <w:rFonts w:eastAsia="Calibri" w:cstheme="minorHAnsi"/>
                <w:sz w:val="20"/>
                <w:szCs w:val="20"/>
              </w:rPr>
              <w:t>Participated as public repository</w:t>
            </w:r>
          </w:p>
        </w:tc>
      </w:tr>
      <w:tr w:rsidR="00637995" w:rsidRPr="0041544A" w14:paraId="2908F799" w14:textId="77777777" w:rsidTr="6EE14823">
        <w:trPr>
          <w:cantSplit/>
        </w:trPr>
        <w:tc>
          <w:tcPr>
            <w:tcW w:w="580" w:type="dxa"/>
          </w:tcPr>
          <w:p w14:paraId="11CFA9FE" w14:textId="7BDB38E6" w:rsidR="00076739" w:rsidRPr="0041544A" w:rsidRDefault="318F42DA" w:rsidP="54FDEEE5">
            <w:pPr>
              <w:spacing w:line="276" w:lineRule="auto"/>
              <w:jc w:val="both"/>
              <w:rPr>
                <w:rFonts w:eastAsia="Calibri"/>
                <w:sz w:val="20"/>
                <w:szCs w:val="20"/>
              </w:rPr>
            </w:pPr>
            <w:r w:rsidRPr="30C7FF53">
              <w:rPr>
                <w:rFonts w:eastAsia="Calibri"/>
                <w:sz w:val="20"/>
                <w:szCs w:val="20"/>
              </w:rPr>
              <w:t>6</w:t>
            </w:r>
          </w:p>
        </w:tc>
        <w:tc>
          <w:tcPr>
            <w:tcW w:w="1665" w:type="dxa"/>
          </w:tcPr>
          <w:p w14:paraId="66B920A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Anaconda Housing Authority</w:t>
            </w:r>
          </w:p>
        </w:tc>
        <w:tc>
          <w:tcPr>
            <w:tcW w:w="1350" w:type="dxa"/>
          </w:tcPr>
          <w:p w14:paraId="6726AD6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51D69F6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HOPWA Strategy; Lead-Based Paint Strategy</w:t>
            </w:r>
          </w:p>
        </w:tc>
        <w:tc>
          <w:tcPr>
            <w:tcW w:w="1926" w:type="dxa"/>
          </w:tcPr>
          <w:p w14:paraId="31AF317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2899B4ED" w14:textId="77777777" w:rsidTr="6EE14823">
        <w:trPr>
          <w:cantSplit/>
        </w:trPr>
        <w:tc>
          <w:tcPr>
            <w:tcW w:w="580" w:type="dxa"/>
          </w:tcPr>
          <w:p w14:paraId="580F74DC" w14:textId="14F4BAE0" w:rsidR="00076739" w:rsidRPr="0041544A" w:rsidRDefault="096DB8A0" w:rsidP="54FDEEE5">
            <w:pPr>
              <w:spacing w:line="276" w:lineRule="auto"/>
              <w:jc w:val="both"/>
              <w:rPr>
                <w:rFonts w:eastAsia="Calibri"/>
                <w:sz w:val="20"/>
                <w:szCs w:val="20"/>
              </w:rPr>
            </w:pPr>
            <w:r w:rsidRPr="30C7FF53">
              <w:rPr>
                <w:rFonts w:eastAsia="Calibri"/>
                <w:sz w:val="20"/>
                <w:szCs w:val="20"/>
              </w:rPr>
              <w:t>7</w:t>
            </w:r>
          </w:p>
        </w:tc>
        <w:tc>
          <w:tcPr>
            <w:tcW w:w="1665" w:type="dxa"/>
          </w:tcPr>
          <w:p w14:paraId="6402F25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Bear Paw Development Corporation</w:t>
            </w:r>
          </w:p>
        </w:tc>
        <w:tc>
          <w:tcPr>
            <w:tcW w:w="1350" w:type="dxa"/>
          </w:tcPr>
          <w:p w14:paraId="6016D17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666E730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Non-Homeless Special Needs; Market Analysis; Economic Development; Lead-Based Paint Strategy; Anti-Poverty Strategy; Other – Infrastructure</w:t>
            </w:r>
          </w:p>
        </w:tc>
        <w:tc>
          <w:tcPr>
            <w:tcW w:w="1926" w:type="dxa"/>
          </w:tcPr>
          <w:p w14:paraId="363EF715"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76B03288" w14:textId="77777777" w:rsidTr="6EE14823">
        <w:trPr>
          <w:cantSplit/>
        </w:trPr>
        <w:tc>
          <w:tcPr>
            <w:tcW w:w="580" w:type="dxa"/>
          </w:tcPr>
          <w:p w14:paraId="2BBEA8D6" w14:textId="26553E0B" w:rsidR="00076739" w:rsidRPr="0041544A" w:rsidRDefault="16EB88B0" w:rsidP="54FDEEE5">
            <w:pPr>
              <w:spacing w:line="276" w:lineRule="auto"/>
              <w:jc w:val="both"/>
              <w:rPr>
                <w:rFonts w:eastAsia="Calibri"/>
                <w:sz w:val="20"/>
                <w:szCs w:val="20"/>
              </w:rPr>
            </w:pPr>
            <w:r w:rsidRPr="30C7FF53">
              <w:rPr>
                <w:rFonts w:eastAsia="Calibri"/>
                <w:sz w:val="20"/>
                <w:szCs w:val="20"/>
              </w:rPr>
              <w:t>8</w:t>
            </w:r>
          </w:p>
        </w:tc>
        <w:tc>
          <w:tcPr>
            <w:tcW w:w="1665" w:type="dxa"/>
          </w:tcPr>
          <w:p w14:paraId="4C5FF12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Beartooth Resource Conservation and Development Area, Inc. </w:t>
            </w:r>
          </w:p>
        </w:tc>
        <w:tc>
          <w:tcPr>
            <w:tcW w:w="1350" w:type="dxa"/>
          </w:tcPr>
          <w:p w14:paraId="17B470F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r>
              <w:rPr>
                <w:rFonts w:eastAsia="Calibri" w:cstheme="minorHAnsi"/>
                <w:sz w:val="20"/>
                <w:szCs w:val="20"/>
              </w:rPr>
              <w:t>; nonprofit</w:t>
            </w:r>
          </w:p>
        </w:tc>
        <w:tc>
          <w:tcPr>
            <w:tcW w:w="4140" w:type="dxa"/>
          </w:tcPr>
          <w:p w14:paraId="005D915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209E5F06" w14:textId="6F4E1A05"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2FC44A7F" w14:textId="77777777" w:rsidTr="6EE14823">
        <w:trPr>
          <w:cantSplit/>
        </w:trPr>
        <w:tc>
          <w:tcPr>
            <w:tcW w:w="580" w:type="dxa"/>
          </w:tcPr>
          <w:p w14:paraId="3016A05A" w14:textId="7A969646" w:rsidR="00076739" w:rsidRPr="0041544A" w:rsidRDefault="58BE707C" w:rsidP="54FDEEE5">
            <w:pPr>
              <w:spacing w:line="276" w:lineRule="auto"/>
              <w:jc w:val="both"/>
              <w:rPr>
                <w:rFonts w:eastAsia="Calibri"/>
                <w:sz w:val="20"/>
                <w:szCs w:val="20"/>
              </w:rPr>
            </w:pPr>
            <w:r w:rsidRPr="30C7FF53">
              <w:rPr>
                <w:rFonts w:eastAsia="Calibri"/>
                <w:sz w:val="20"/>
                <w:szCs w:val="20"/>
              </w:rPr>
              <w:lastRenderedPageBreak/>
              <w:t>9</w:t>
            </w:r>
          </w:p>
        </w:tc>
        <w:tc>
          <w:tcPr>
            <w:tcW w:w="1665" w:type="dxa"/>
          </w:tcPr>
          <w:p w14:paraId="6F125B1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Big Sky Economic Development Authority </w:t>
            </w:r>
          </w:p>
        </w:tc>
        <w:tc>
          <w:tcPr>
            <w:tcW w:w="1350" w:type="dxa"/>
          </w:tcPr>
          <w:p w14:paraId="2E3E26C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21625F7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55F4EA10" w14:textId="69D7C09A"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36A8B3C8" w14:textId="77777777" w:rsidTr="6EE14823">
        <w:trPr>
          <w:cantSplit/>
        </w:trPr>
        <w:tc>
          <w:tcPr>
            <w:tcW w:w="580" w:type="dxa"/>
          </w:tcPr>
          <w:p w14:paraId="186AA615" w14:textId="10CDE3AE" w:rsidR="00076739" w:rsidRPr="0041544A" w:rsidRDefault="0EFACA43" w:rsidP="54FDEEE5">
            <w:pPr>
              <w:spacing w:line="276" w:lineRule="auto"/>
              <w:jc w:val="both"/>
              <w:rPr>
                <w:rFonts w:eastAsia="Calibri"/>
                <w:sz w:val="20"/>
                <w:szCs w:val="20"/>
              </w:rPr>
            </w:pPr>
            <w:r w:rsidRPr="30C7FF53">
              <w:rPr>
                <w:rFonts w:eastAsia="Calibri"/>
                <w:sz w:val="20"/>
                <w:szCs w:val="20"/>
              </w:rPr>
              <w:t>10</w:t>
            </w:r>
          </w:p>
        </w:tc>
        <w:tc>
          <w:tcPr>
            <w:tcW w:w="1665" w:type="dxa"/>
          </w:tcPr>
          <w:p w14:paraId="4E72331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Billings Housing Authority</w:t>
            </w:r>
          </w:p>
        </w:tc>
        <w:tc>
          <w:tcPr>
            <w:tcW w:w="1350" w:type="dxa"/>
          </w:tcPr>
          <w:p w14:paraId="0E1EF3C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547B5E9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HOPWA Strategy; Lead-Based Paint Strategy</w:t>
            </w:r>
          </w:p>
        </w:tc>
        <w:tc>
          <w:tcPr>
            <w:tcW w:w="1926" w:type="dxa"/>
          </w:tcPr>
          <w:p w14:paraId="1BE8379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51C8E02A" w14:textId="77777777" w:rsidTr="6EE14823">
        <w:trPr>
          <w:cantSplit/>
        </w:trPr>
        <w:tc>
          <w:tcPr>
            <w:tcW w:w="580" w:type="dxa"/>
          </w:tcPr>
          <w:p w14:paraId="0105CE09" w14:textId="222A4F13" w:rsidR="00076739" w:rsidRPr="0041544A" w:rsidRDefault="17C0DA5F">
            <w:pPr>
              <w:spacing w:line="276" w:lineRule="auto"/>
              <w:jc w:val="both"/>
              <w:rPr>
                <w:rFonts w:ascii="Calibri" w:eastAsia="Calibri" w:hAnsi="Calibri" w:cs="Calibri"/>
                <w:sz w:val="20"/>
                <w:szCs w:val="20"/>
              </w:rPr>
            </w:pPr>
            <w:r w:rsidRPr="30C7FF53">
              <w:rPr>
                <w:rFonts w:eastAsia="Calibri"/>
                <w:sz w:val="20"/>
                <w:szCs w:val="20"/>
              </w:rPr>
              <w:t>11</w:t>
            </w:r>
          </w:p>
        </w:tc>
        <w:tc>
          <w:tcPr>
            <w:tcW w:w="1665" w:type="dxa"/>
          </w:tcPr>
          <w:p w14:paraId="56BDE29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Blackfeet Housing Authority</w:t>
            </w:r>
          </w:p>
        </w:tc>
        <w:tc>
          <w:tcPr>
            <w:tcW w:w="1350" w:type="dxa"/>
          </w:tcPr>
          <w:p w14:paraId="4DAACB5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2C46CF8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HOPWA Strategy; Lead-Based Paint Strategy</w:t>
            </w:r>
          </w:p>
        </w:tc>
        <w:tc>
          <w:tcPr>
            <w:tcW w:w="1926" w:type="dxa"/>
          </w:tcPr>
          <w:p w14:paraId="33940D2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088DA720" w14:textId="77777777" w:rsidTr="6EE14823">
        <w:trPr>
          <w:cantSplit/>
        </w:trPr>
        <w:tc>
          <w:tcPr>
            <w:tcW w:w="580" w:type="dxa"/>
          </w:tcPr>
          <w:p w14:paraId="224C8D0B" w14:textId="5C2EC5FA" w:rsidR="00076739" w:rsidRPr="0041544A" w:rsidRDefault="25960D54">
            <w:pPr>
              <w:spacing w:line="276" w:lineRule="auto"/>
              <w:jc w:val="both"/>
              <w:rPr>
                <w:rFonts w:ascii="Calibri" w:eastAsia="Calibri" w:hAnsi="Calibri" w:cs="Calibri"/>
                <w:sz w:val="20"/>
                <w:szCs w:val="20"/>
              </w:rPr>
            </w:pPr>
            <w:r w:rsidRPr="30C7FF53">
              <w:rPr>
                <w:rFonts w:eastAsia="Calibri"/>
                <w:sz w:val="20"/>
                <w:szCs w:val="20"/>
              </w:rPr>
              <w:t>12</w:t>
            </w:r>
          </w:p>
        </w:tc>
        <w:tc>
          <w:tcPr>
            <w:tcW w:w="1665" w:type="dxa"/>
          </w:tcPr>
          <w:p w14:paraId="6DCB940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Butte Public Housing Authority</w:t>
            </w:r>
            <w:r>
              <w:rPr>
                <w:rFonts w:eastAsia="Calibri" w:cstheme="minorHAnsi"/>
                <w:sz w:val="20"/>
                <w:szCs w:val="20"/>
              </w:rPr>
              <w:t xml:space="preserve"> (PHA)</w:t>
            </w:r>
          </w:p>
        </w:tc>
        <w:tc>
          <w:tcPr>
            <w:tcW w:w="1350" w:type="dxa"/>
          </w:tcPr>
          <w:p w14:paraId="35FB5AE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06DB92A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HOPWA Strategy; Lead-Based Paint Strategy</w:t>
            </w:r>
          </w:p>
        </w:tc>
        <w:tc>
          <w:tcPr>
            <w:tcW w:w="1926" w:type="dxa"/>
          </w:tcPr>
          <w:p w14:paraId="3096141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4423402C" w14:textId="77777777" w:rsidTr="6EE14823">
        <w:trPr>
          <w:cantSplit/>
        </w:trPr>
        <w:tc>
          <w:tcPr>
            <w:tcW w:w="580" w:type="dxa"/>
          </w:tcPr>
          <w:p w14:paraId="3D513843" w14:textId="512F1C3E" w:rsidR="00076739" w:rsidRPr="0041544A" w:rsidRDefault="1925F0CC" w:rsidP="54FDEEE5">
            <w:pPr>
              <w:spacing w:line="276" w:lineRule="auto"/>
              <w:jc w:val="both"/>
              <w:rPr>
                <w:rFonts w:eastAsia="Calibri"/>
                <w:sz w:val="20"/>
                <w:szCs w:val="20"/>
              </w:rPr>
            </w:pPr>
            <w:r w:rsidRPr="30C7FF53">
              <w:rPr>
                <w:rFonts w:eastAsia="Calibri"/>
                <w:sz w:val="20"/>
                <w:szCs w:val="20"/>
              </w:rPr>
              <w:t>13</w:t>
            </w:r>
          </w:p>
        </w:tc>
        <w:tc>
          <w:tcPr>
            <w:tcW w:w="1665" w:type="dxa"/>
          </w:tcPr>
          <w:p w14:paraId="6FE840A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Butte-Silver Bow Consolidated City-County</w:t>
            </w:r>
          </w:p>
        </w:tc>
        <w:tc>
          <w:tcPr>
            <w:tcW w:w="1350" w:type="dxa"/>
          </w:tcPr>
          <w:p w14:paraId="3C05FAA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County</w:t>
            </w:r>
            <w:r w:rsidRPr="0041544A">
              <w:rPr>
                <w:rFonts w:eastAsia="Calibri" w:cstheme="minorHAnsi"/>
                <w:sz w:val="20"/>
                <w:szCs w:val="20"/>
              </w:rPr>
              <w:br/>
            </w:r>
          </w:p>
        </w:tc>
        <w:tc>
          <w:tcPr>
            <w:tcW w:w="4140" w:type="dxa"/>
          </w:tcPr>
          <w:p w14:paraId="4C6C9495"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7C8CE467" w14:textId="655896D0"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r>
              <w:rPr>
                <w:rFonts w:eastAsia="Calibri" w:cstheme="minorHAnsi"/>
                <w:sz w:val="20"/>
                <w:szCs w:val="20"/>
              </w:rPr>
              <w:t xml:space="preserve">; </w:t>
            </w:r>
          </w:p>
        </w:tc>
      </w:tr>
      <w:tr w:rsidR="00637995" w:rsidRPr="0041544A" w14:paraId="3F9DC46F" w14:textId="77777777" w:rsidTr="6EE14823">
        <w:trPr>
          <w:cantSplit/>
        </w:trPr>
        <w:tc>
          <w:tcPr>
            <w:tcW w:w="580" w:type="dxa"/>
          </w:tcPr>
          <w:p w14:paraId="17795804" w14:textId="590F55D8" w:rsidR="00076739" w:rsidRPr="0041544A" w:rsidRDefault="01D34D71" w:rsidP="54FDEEE5">
            <w:pPr>
              <w:spacing w:line="276" w:lineRule="auto"/>
              <w:jc w:val="both"/>
              <w:rPr>
                <w:rFonts w:eastAsia="Calibri"/>
                <w:sz w:val="20"/>
                <w:szCs w:val="20"/>
              </w:rPr>
            </w:pPr>
            <w:r w:rsidRPr="30C7FF53">
              <w:rPr>
                <w:rFonts w:eastAsia="Calibri"/>
                <w:sz w:val="20"/>
                <w:szCs w:val="20"/>
              </w:rPr>
              <w:t>14</w:t>
            </w:r>
          </w:p>
        </w:tc>
        <w:tc>
          <w:tcPr>
            <w:tcW w:w="1665" w:type="dxa"/>
          </w:tcPr>
          <w:p w14:paraId="25323F8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Cascade County</w:t>
            </w:r>
          </w:p>
        </w:tc>
        <w:tc>
          <w:tcPr>
            <w:tcW w:w="1350" w:type="dxa"/>
          </w:tcPr>
          <w:p w14:paraId="13BC397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County</w:t>
            </w:r>
          </w:p>
        </w:tc>
        <w:tc>
          <w:tcPr>
            <w:tcW w:w="4140" w:type="dxa"/>
          </w:tcPr>
          <w:p w14:paraId="36F4999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60B5F5A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5E8E7203" w14:textId="77777777" w:rsidTr="6EE14823">
        <w:trPr>
          <w:cantSplit/>
        </w:trPr>
        <w:tc>
          <w:tcPr>
            <w:tcW w:w="580" w:type="dxa"/>
          </w:tcPr>
          <w:p w14:paraId="2285BC14" w14:textId="1C66C426" w:rsidR="00076739" w:rsidRPr="0041544A" w:rsidRDefault="4516F8E8">
            <w:pPr>
              <w:spacing w:line="276" w:lineRule="auto"/>
              <w:jc w:val="both"/>
              <w:rPr>
                <w:rFonts w:ascii="Calibri" w:eastAsia="Calibri" w:hAnsi="Calibri" w:cs="Calibri"/>
                <w:sz w:val="20"/>
                <w:szCs w:val="20"/>
              </w:rPr>
            </w:pPr>
            <w:r w:rsidRPr="30C7FF53">
              <w:rPr>
                <w:rFonts w:eastAsia="Calibri"/>
                <w:sz w:val="20"/>
                <w:szCs w:val="20"/>
              </w:rPr>
              <w:t>15</w:t>
            </w:r>
          </w:p>
        </w:tc>
        <w:tc>
          <w:tcPr>
            <w:tcW w:w="1665" w:type="dxa"/>
          </w:tcPr>
          <w:p w14:paraId="7F8D185D" w14:textId="77777777" w:rsidR="00076739" w:rsidRPr="0041544A" w:rsidRDefault="00076739" w:rsidP="00076739">
            <w:pPr>
              <w:spacing w:line="276" w:lineRule="auto"/>
              <w:rPr>
                <w:rFonts w:eastAsia="Calibri" w:cstheme="minorHAnsi"/>
                <w:sz w:val="20"/>
                <w:szCs w:val="20"/>
              </w:rPr>
            </w:pPr>
            <w:proofErr w:type="gramStart"/>
            <w:r w:rsidRPr="0041544A">
              <w:rPr>
                <w:rFonts w:eastAsia="Calibri" w:cstheme="minorHAnsi"/>
                <w:sz w:val="20"/>
                <w:szCs w:val="20"/>
              </w:rPr>
              <w:t>Chippewa-Cree</w:t>
            </w:r>
            <w:proofErr w:type="gramEnd"/>
            <w:r w:rsidRPr="0041544A">
              <w:rPr>
                <w:rFonts w:eastAsia="Calibri" w:cstheme="minorHAnsi"/>
                <w:sz w:val="20"/>
                <w:szCs w:val="20"/>
              </w:rPr>
              <w:t xml:space="preserve"> Housing Authority</w:t>
            </w:r>
          </w:p>
        </w:tc>
        <w:tc>
          <w:tcPr>
            <w:tcW w:w="1350" w:type="dxa"/>
          </w:tcPr>
          <w:p w14:paraId="62ECA47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2B6E4CA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HOPWA Strategy; Lead-Based Paint Strategy</w:t>
            </w:r>
          </w:p>
        </w:tc>
        <w:tc>
          <w:tcPr>
            <w:tcW w:w="1926" w:type="dxa"/>
          </w:tcPr>
          <w:p w14:paraId="417FCAA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74AF08DD" w14:textId="77777777" w:rsidTr="6EE14823">
        <w:trPr>
          <w:cantSplit/>
        </w:trPr>
        <w:tc>
          <w:tcPr>
            <w:tcW w:w="580" w:type="dxa"/>
          </w:tcPr>
          <w:p w14:paraId="19B8B4E9" w14:textId="4032987B" w:rsidR="00076739" w:rsidRPr="0041544A" w:rsidRDefault="0DC58DFF" w:rsidP="54FDEEE5">
            <w:pPr>
              <w:spacing w:line="276" w:lineRule="auto"/>
              <w:jc w:val="both"/>
              <w:rPr>
                <w:rFonts w:eastAsia="Calibri"/>
                <w:sz w:val="20"/>
                <w:szCs w:val="20"/>
              </w:rPr>
            </w:pPr>
            <w:r w:rsidRPr="30C7FF53">
              <w:rPr>
                <w:rFonts w:eastAsia="Calibri"/>
                <w:sz w:val="20"/>
                <w:szCs w:val="20"/>
              </w:rPr>
              <w:lastRenderedPageBreak/>
              <w:t>16</w:t>
            </w:r>
          </w:p>
        </w:tc>
        <w:tc>
          <w:tcPr>
            <w:tcW w:w="1665" w:type="dxa"/>
          </w:tcPr>
          <w:p w14:paraId="5E00FDA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City of Billings</w:t>
            </w:r>
          </w:p>
        </w:tc>
        <w:tc>
          <w:tcPr>
            <w:tcW w:w="1350" w:type="dxa"/>
          </w:tcPr>
          <w:p w14:paraId="670EB8B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Local</w:t>
            </w:r>
          </w:p>
        </w:tc>
        <w:tc>
          <w:tcPr>
            <w:tcW w:w="4140" w:type="dxa"/>
          </w:tcPr>
          <w:p w14:paraId="3AD048C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6384B20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258DF7E8" w14:textId="77777777" w:rsidTr="6EE14823">
        <w:trPr>
          <w:cantSplit/>
        </w:trPr>
        <w:tc>
          <w:tcPr>
            <w:tcW w:w="580" w:type="dxa"/>
          </w:tcPr>
          <w:p w14:paraId="3FB3CCFA" w14:textId="253D58E3" w:rsidR="00076739" w:rsidRPr="0041544A" w:rsidRDefault="34F5CF05" w:rsidP="54FDEEE5">
            <w:pPr>
              <w:spacing w:line="276" w:lineRule="auto"/>
              <w:jc w:val="both"/>
              <w:rPr>
                <w:rFonts w:eastAsia="Calibri"/>
                <w:sz w:val="20"/>
                <w:szCs w:val="20"/>
              </w:rPr>
            </w:pPr>
            <w:r w:rsidRPr="30C7FF53">
              <w:rPr>
                <w:rFonts w:eastAsia="Calibri"/>
                <w:sz w:val="20"/>
                <w:szCs w:val="20"/>
              </w:rPr>
              <w:t>17</w:t>
            </w:r>
          </w:p>
        </w:tc>
        <w:tc>
          <w:tcPr>
            <w:tcW w:w="1665" w:type="dxa"/>
          </w:tcPr>
          <w:p w14:paraId="6FCB702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City of Great Falls</w:t>
            </w:r>
          </w:p>
        </w:tc>
        <w:tc>
          <w:tcPr>
            <w:tcW w:w="1350" w:type="dxa"/>
          </w:tcPr>
          <w:p w14:paraId="6A9B7AF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Local</w:t>
            </w:r>
          </w:p>
        </w:tc>
        <w:tc>
          <w:tcPr>
            <w:tcW w:w="4140" w:type="dxa"/>
          </w:tcPr>
          <w:p w14:paraId="69CA138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085AFC4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6D59843D" w14:textId="77777777" w:rsidTr="6EE14823">
        <w:trPr>
          <w:cantSplit/>
        </w:trPr>
        <w:tc>
          <w:tcPr>
            <w:tcW w:w="580" w:type="dxa"/>
          </w:tcPr>
          <w:p w14:paraId="526C4244" w14:textId="43E7E929" w:rsidR="00076739" w:rsidRPr="0041544A" w:rsidRDefault="7B53A2A8">
            <w:pPr>
              <w:spacing w:line="276" w:lineRule="auto"/>
              <w:jc w:val="both"/>
              <w:rPr>
                <w:rFonts w:ascii="Calibri" w:eastAsia="Calibri" w:hAnsi="Calibri" w:cs="Calibri"/>
                <w:sz w:val="20"/>
                <w:szCs w:val="20"/>
              </w:rPr>
            </w:pPr>
            <w:r w:rsidRPr="30C7FF53">
              <w:rPr>
                <w:rFonts w:eastAsia="Calibri"/>
                <w:sz w:val="20"/>
                <w:szCs w:val="20"/>
              </w:rPr>
              <w:t>18</w:t>
            </w:r>
          </w:p>
        </w:tc>
        <w:tc>
          <w:tcPr>
            <w:tcW w:w="1665" w:type="dxa"/>
          </w:tcPr>
          <w:p w14:paraId="1E371361" w14:textId="77777777" w:rsidR="00076739" w:rsidRDefault="00076739" w:rsidP="00076739">
            <w:pPr>
              <w:spacing w:line="276" w:lineRule="auto"/>
              <w:rPr>
                <w:rFonts w:eastAsia="Calibri" w:cstheme="minorHAnsi"/>
                <w:sz w:val="20"/>
                <w:szCs w:val="20"/>
              </w:rPr>
            </w:pPr>
            <w:r>
              <w:rPr>
                <w:rFonts w:eastAsia="Calibri" w:cstheme="minorHAnsi"/>
                <w:sz w:val="20"/>
                <w:szCs w:val="20"/>
              </w:rPr>
              <w:t>City of Helena</w:t>
            </w:r>
          </w:p>
        </w:tc>
        <w:tc>
          <w:tcPr>
            <w:tcW w:w="1350" w:type="dxa"/>
          </w:tcPr>
          <w:p w14:paraId="41EF4090" w14:textId="77777777" w:rsidR="00076739" w:rsidRDefault="00076739" w:rsidP="00076739">
            <w:pPr>
              <w:spacing w:line="276" w:lineRule="auto"/>
              <w:rPr>
                <w:rFonts w:eastAsia="Calibri" w:cstheme="minorHAnsi"/>
                <w:sz w:val="20"/>
                <w:szCs w:val="20"/>
              </w:rPr>
            </w:pPr>
            <w:r>
              <w:rPr>
                <w:rFonts w:eastAsia="Calibri" w:cstheme="minorHAnsi"/>
                <w:sz w:val="20"/>
                <w:szCs w:val="20"/>
              </w:rPr>
              <w:t>Local</w:t>
            </w:r>
          </w:p>
        </w:tc>
        <w:tc>
          <w:tcPr>
            <w:tcW w:w="4140" w:type="dxa"/>
          </w:tcPr>
          <w:p w14:paraId="128CA35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w:t>
            </w:r>
          </w:p>
        </w:tc>
        <w:tc>
          <w:tcPr>
            <w:tcW w:w="1926" w:type="dxa"/>
          </w:tcPr>
          <w:p w14:paraId="3863F277" w14:textId="6F9872F8" w:rsidR="00076739" w:rsidRDefault="00076739" w:rsidP="00076739">
            <w:pPr>
              <w:spacing w:line="276" w:lineRule="auto"/>
              <w:rPr>
                <w:rFonts w:eastAsia="Calibri" w:cstheme="minorHAnsi"/>
                <w:sz w:val="20"/>
                <w:szCs w:val="20"/>
              </w:rPr>
            </w:pPr>
            <w:r>
              <w:rPr>
                <w:rFonts w:eastAsia="Calibri" w:cstheme="minorHAnsi"/>
                <w:sz w:val="20"/>
                <w:szCs w:val="20"/>
              </w:rPr>
              <w:t xml:space="preserve">Included on email listserv </w:t>
            </w:r>
          </w:p>
        </w:tc>
      </w:tr>
      <w:tr w:rsidR="00637995" w:rsidRPr="0041544A" w14:paraId="5BC2F010" w14:textId="77777777" w:rsidTr="6EE14823">
        <w:trPr>
          <w:cantSplit/>
        </w:trPr>
        <w:tc>
          <w:tcPr>
            <w:tcW w:w="580" w:type="dxa"/>
          </w:tcPr>
          <w:p w14:paraId="1E32FD2A" w14:textId="746F4F06" w:rsidR="00076739" w:rsidRPr="0041544A" w:rsidRDefault="6CD126B4">
            <w:pPr>
              <w:spacing w:line="276" w:lineRule="auto"/>
              <w:jc w:val="both"/>
              <w:rPr>
                <w:rFonts w:ascii="Calibri" w:eastAsia="Calibri" w:hAnsi="Calibri" w:cs="Calibri"/>
                <w:sz w:val="20"/>
                <w:szCs w:val="20"/>
              </w:rPr>
            </w:pPr>
            <w:r w:rsidRPr="30C7FF53">
              <w:rPr>
                <w:rFonts w:eastAsia="Calibri"/>
                <w:sz w:val="20"/>
                <w:szCs w:val="20"/>
              </w:rPr>
              <w:t>19</w:t>
            </w:r>
          </w:p>
        </w:tc>
        <w:tc>
          <w:tcPr>
            <w:tcW w:w="1665" w:type="dxa"/>
          </w:tcPr>
          <w:p w14:paraId="2527086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City of Kalispell</w:t>
            </w:r>
          </w:p>
        </w:tc>
        <w:tc>
          <w:tcPr>
            <w:tcW w:w="1350" w:type="dxa"/>
          </w:tcPr>
          <w:p w14:paraId="657A3095"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Local</w:t>
            </w:r>
          </w:p>
        </w:tc>
        <w:tc>
          <w:tcPr>
            <w:tcW w:w="4140" w:type="dxa"/>
          </w:tcPr>
          <w:p w14:paraId="1BA6A3D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62E73AA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46A361C6" w14:textId="77777777" w:rsidTr="6EE14823">
        <w:trPr>
          <w:cantSplit/>
        </w:trPr>
        <w:tc>
          <w:tcPr>
            <w:tcW w:w="580" w:type="dxa"/>
          </w:tcPr>
          <w:p w14:paraId="60808142" w14:textId="25042AF6" w:rsidR="00076739" w:rsidRPr="0041544A" w:rsidRDefault="5FFC16EC">
            <w:pPr>
              <w:spacing w:line="276" w:lineRule="auto"/>
              <w:jc w:val="both"/>
              <w:rPr>
                <w:rFonts w:eastAsia="Calibri"/>
                <w:sz w:val="20"/>
                <w:szCs w:val="20"/>
              </w:rPr>
            </w:pPr>
            <w:r w:rsidRPr="30C7FF53">
              <w:rPr>
                <w:rFonts w:eastAsia="Calibri"/>
                <w:sz w:val="20"/>
                <w:szCs w:val="20"/>
              </w:rPr>
              <w:lastRenderedPageBreak/>
              <w:t>20</w:t>
            </w:r>
          </w:p>
        </w:tc>
        <w:tc>
          <w:tcPr>
            <w:tcW w:w="1665" w:type="dxa"/>
          </w:tcPr>
          <w:p w14:paraId="3CEBACF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City of Livingston</w:t>
            </w:r>
          </w:p>
        </w:tc>
        <w:tc>
          <w:tcPr>
            <w:tcW w:w="1350" w:type="dxa"/>
          </w:tcPr>
          <w:p w14:paraId="3856B64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Local</w:t>
            </w:r>
          </w:p>
        </w:tc>
        <w:tc>
          <w:tcPr>
            <w:tcW w:w="4140" w:type="dxa"/>
          </w:tcPr>
          <w:p w14:paraId="719C818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1C215AC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5508B139" w14:textId="77777777" w:rsidTr="6EE14823">
        <w:trPr>
          <w:cantSplit/>
        </w:trPr>
        <w:tc>
          <w:tcPr>
            <w:tcW w:w="580" w:type="dxa"/>
          </w:tcPr>
          <w:p w14:paraId="04EAC399" w14:textId="50089FA5" w:rsidR="00076739" w:rsidRPr="0041544A" w:rsidRDefault="479229F1">
            <w:pPr>
              <w:spacing w:line="276" w:lineRule="auto"/>
              <w:jc w:val="both"/>
              <w:rPr>
                <w:rFonts w:ascii="Calibri" w:eastAsia="Calibri" w:hAnsi="Calibri" w:cs="Calibri"/>
                <w:sz w:val="20"/>
                <w:szCs w:val="20"/>
              </w:rPr>
            </w:pPr>
            <w:r w:rsidRPr="30C7FF53">
              <w:rPr>
                <w:rFonts w:eastAsia="Calibri"/>
                <w:sz w:val="20"/>
                <w:szCs w:val="20"/>
              </w:rPr>
              <w:t>21</w:t>
            </w:r>
          </w:p>
        </w:tc>
        <w:tc>
          <w:tcPr>
            <w:tcW w:w="1665" w:type="dxa"/>
          </w:tcPr>
          <w:p w14:paraId="3D5E6FD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City of Missoula</w:t>
            </w:r>
          </w:p>
        </w:tc>
        <w:tc>
          <w:tcPr>
            <w:tcW w:w="1350" w:type="dxa"/>
          </w:tcPr>
          <w:p w14:paraId="6AF4775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Local</w:t>
            </w:r>
          </w:p>
        </w:tc>
        <w:tc>
          <w:tcPr>
            <w:tcW w:w="4140" w:type="dxa"/>
          </w:tcPr>
          <w:p w14:paraId="3F9363A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1463D5A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4DB45E35" w14:textId="77777777" w:rsidTr="6EE14823">
        <w:trPr>
          <w:cantSplit/>
        </w:trPr>
        <w:tc>
          <w:tcPr>
            <w:tcW w:w="580" w:type="dxa"/>
          </w:tcPr>
          <w:p w14:paraId="1F20CF6B" w14:textId="4E4D008E" w:rsidR="00076739" w:rsidRPr="0041544A" w:rsidRDefault="0E415AD3" w:rsidP="54FDEEE5">
            <w:pPr>
              <w:spacing w:line="276" w:lineRule="auto"/>
              <w:jc w:val="both"/>
              <w:rPr>
                <w:rFonts w:eastAsia="Calibri"/>
                <w:sz w:val="20"/>
                <w:szCs w:val="20"/>
              </w:rPr>
            </w:pPr>
            <w:r w:rsidRPr="30C7FF53">
              <w:rPr>
                <w:rFonts w:eastAsia="Calibri"/>
                <w:sz w:val="20"/>
                <w:szCs w:val="20"/>
              </w:rPr>
              <w:t>22</w:t>
            </w:r>
          </w:p>
        </w:tc>
        <w:tc>
          <w:tcPr>
            <w:tcW w:w="1665" w:type="dxa"/>
          </w:tcPr>
          <w:p w14:paraId="48C20BB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Communities for Veterans</w:t>
            </w:r>
          </w:p>
        </w:tc>
        <w:tc>
          <w:tcPr>
            <w:tcW w:w="1350" w:type="dxa"/>
          </w:tcPr>
          <w:p w14:paraId="574969F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3673F35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194A2D3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0F3CB6AC" w14:textId="77777777" w:rsidTr="6EE14823">
        <w:trPr>
          <w:cantSplit/>
        </w:trPr>
        <w:tc>
          <w:tcPr>
            <w:tcW w:w="580" w:type="dxa"/>
          </w:tcPr>
          <w:p w14:paraId="1B8EF3F1" w14:textId="4AE81324" w:rsidR="00076739" w:rsidRPr="0041544A" w:rsidRDefault="5E382541" w:rsidP="54FDEEE5">
            <w:pPr>
              <w:spacing w:line="276" w:lineRule="auto"/>
              <w:jc w:val="both"/>
              <w:rPr>
                <w:rFonts w:eastAsia="Calibri"/>
                <w:sz w:val="20"/>
                <w:szCs w:val="20"/>
              </w:rPr>
            </w:pPr>
            <w:r w:rsidRPr="30C7FF53">
              <w:rPr>
                <w:rFonts w:eastAsia="Calibri"/>
                <w:sz w:val="20"/>
                <w:szCs w:val="20"/>
              </w:rPr>
              <w:t>23</w:t>
            </w:r>
          </w:p>
        </w:tc>
        <w:tc>
          <w:tcPr>
            <w:tcW w:w="1665" w:type="dxa"/>
          </w:tcPr>
          <w:p w14:paraId="5631327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Community Action Partnership of Northwest Montana (HRDC) District X</w:t>
            </w:r>
          </w:p>
        </w:tc>
        <w:tc>
          <w:tcPr>
            <w:tcW w:w="1350" w:type="dxa"/>
          </w:tcPr>
          <w:p w14:paraId="386A489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Regional organization; Services – Elderly Persons; Services – Children </w:t>
            </w:r>
          </w:p>
        </w:tc>
        <w:tc>
          <w:tcPr>
            <w:tcW w:w="4140" w:type="dxa"/>
          </w:tcPr>
          <w:p w14:paraId="606E98C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Lead-Based Paint Strategy; Anti-Poverty Strategy</w:t>
            </w:r>
          </w:p>
        </w:tc>
        <w:tc>
          <w:tcPr>
            <w:tcW w:w="1926" w:type="dxa"/>
          </w:tcPr>
          <w:p w14:paraId="0DE7C351" w14:textId="21710E2C"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r w:rsidRPr="00A468EB">
              <w:rPr>
                <w:rFonts w:eastAsia="Calibri" w:cstheme="minorHAnsi"/>
                <w:sz w:val="20"/>
                <w:szCs w:val="20"/>
              </w:rPr>
              <w:t>participated as public repository</w:t>
            </w:r>
          </w:p>
        </w:tc>
      </w:tr>
      <w:tr w:rsidR="00637995" w:rsidRPr="0041544A" w14:paraId="238A85E1" w14:textId="77777777" w:rsidTr="6EE14823">
        <w:trPr>
          <w:cantSplit/>
        </w:trPr>
        <w:tc>
          <w:tcPr>
            <w:tcW w:w="580" w:type="dxa"/>
          </w:tcPr>
          <w:p w14:paraId="27389976" w14:textId="4B8CE62D" w:rsidR="00076739" w:rsidRPr="0041544A" w:rsidRDefault="683EC0B7" w:rsidP="54FDEEE5">
            <w:pPr>
              <w:spacing w:line="276" w:lineRule="auto"/>
              <w:jc w:val="both"/>
              <w:rPr>
                <w:rFonts w:eastAsia="Calibri"/>
                <w:sz w:val="20"/>
                <w:szCs w:val="20"/>
              </w:rPr>
            </w:pPr>
            <w:r w:rsidRPr="30C7FF53">
              <w:rPr>
                <w:rFonts w:eastAsia="Calibri"/>
                <w:sz w:val="20"/>
                <w:szCs w:val="20"/>
              </w:rPr>
              <w:t>24</w:t>
            </w:r>
          </w:p>
        </w:tc>
        <w:tc>
          <w:tcPr>
            <w:tcW w:w="1665" w:type="dxa"/>
          </w:tcPr>
          <w:p w14:paraId="4164077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CTA Architects &amp; Engineers</w:t>
            </w:r>
          </w:p>
        </w:tc>
        <w:tc>
          <w:tcPr>
            <w:tcW w:w="1350" w:type="dxa"/>
          </w:tcPr>
          <w:p w14:paraId="357EC0D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Business leaders</w:t>
            </w:r>
          </w:p>
        </w:tc>
        <w:tc>
          <w:tcPr>
            <w:tcW w:w="4140" w:type="dxa"/>
          </w:tcPr>
          <w:p w14:paraId="5AB8A775"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Non-Homeless Special Needs; Market Analysis; Economic Development; Other – Infrastructure </w:t>
            </w:r>
          </w:p>
        </w:tc>
        <w:tc>
          <w:tcPr>
            <w:tcW w:w="1926" w:type="dxa"/>
          </w:tcPr>
          <w:p w14:paraId="78FD2BE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57F8C4D7" w14:textId="77777777" w:rsidTr="6EE14823">
        <w:trPr>
          <w:cantSplit/>
        </w:trPr>
        <w:tc>
          <w:tcPr>
            <w:tcW w:w="580" w:type="dxa"/>
          </w:tcPr>
          <w:p w14:paraId="1E422698" w14:textId="75BBC276" w:rsidR="00076739" w:rsidRPr="0041544A" w:rsidRDefault="281ADD9B" w:rsidP="54FDEEE5">
            <w:pPr>
              <w:spacing w:line="276" w:lineRule="auto"/>
              <w:jc w:val="both"/>
              <w:rPr>
                <w:rFonts w:eastAsia="Calibri"/>
                <w:sz w:val="20"/>
                <w:szCs w:val="20"/>
              </w:rPr>
            </w:pPr>
            <w:r w:rsidRPr="30C7FF53">
              <w:rPr>
                <w:rFonts w:eastAsia="Calibri"/>
                <w:sz w:val="20"/>
                <w:szCs w:val="20"/>
              </w:rPr>
              <w:t>25</w:t>
            </w:r>
          </w:p>
        </w:tc>
        <w:tc>
          <w:tcPr>
            <w:tcW w:w="1665" w:type="dxa"/>
          </w:tcPr>
          <w:p w14:paraId="6ACF5475"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Dawson County Housing Authority</w:t>
            </w:r>
          </w:p>
        </w:tc>
        <w:tc>
          <w:tcPr>
            <w:tcW w:w="1350" w:type="dxa"/>
          </w:tcPr>
          <w:p w14:paraId="2EE7F20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133CFB8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HOPWA Strategy; Lead-Based Paint Strategy</w:t>
            </w:r>
          </w:p>
        </w:tc>
        <w:tc>
          <w:tcPr>
            <w:tcW w:w="1926" w:type="dxa"/>
          </w:tcPr>
          <w:p w14:paraId="258AC6C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7B7FDDCE" w14:textId="77777777" w:rsidTr="6EE14823">
        <w:trPr>
          <w:cantSplit/>
        </w:trPr>
        <w:tc>
          <w:tcPr>
            <w:tcW w:w="580" w:type="dxa"/>
          </w:tcPr>
          <w:p w14:paraId="7DA4524E" w14:textId="5ED9E7E7" w:rsidR="00076739" w:rsidRPr="0041544A" w:rsidRDefault="700161CC" w:rsidP="54FDEEE5">
            <w:pPr>
              <w:spacing w:line="276" w:lineRule="auto"/>
              <w:jc w:val="both"/>
              <w:rPr>
                <w:rFonts w:eastAsia="Calibri"/>
                <w:sz w:val="20"/>
                <w:szCs w:val="20"/>
              </w:rPr>
            </w:pPr>
            <w:r w:rsidRPr="30C7FF53">
              <w:rPr>
                <w:rFonts w:eastAsia="Calibri"/>
                <w:sz w:val="20"/>
                <w:szCs w:val="20"/>
              </w:rPr>
              <w:lastRenderedPageBreak/>
              <w:t>26</w:t>
            </w:r>
          </w:p>
        </w:tc>
        <w:tc>
          <w:tcPr>
            <w:tcW w:w="1665" w:type="dxa"/>
          </w:tcPr>
          <w:p w14:paraId="23F6714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District IV Human Resource Development Council</w:t>
            </w:r>
            <w:r>
              <w:rPr>
                <w:rFonts w:eastAsia="Calibri" w:cstheme="minorHAnsi"/>
                <w:sz w:val="20"/>
                <w:szCs w:val="20"/>
              </w:rPr>
              <w:t xml:space="preserve"> (HRDC) in Havre</w:t>
            </w:r>
          </w:p>
        </w:tc>
        <w:tc>
          <w:tcPr>
            <w:tcW w:w="1350" w:type="dxa"/>
          </w:tcPr>
          <w:p w14:paraId="406361E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Regional organization; Services – Elderly Persons; Services – Children </w:t>
            </w:r>
          </w:p>
        </w:tc>
        <w:tc>
          <w:tcPr>
            <w:tcW w:w="4140" w:type="dxa"/>
          </w:tcPr>
          <w:p w14:paraId="3FB03AA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Lead-Based Paint Strategy; Anti-Poverty Strategy</w:t>
            </w:r>
          </w:p>
        </w:tc>
        <w:tc>
          <w:tcPr>
            <w:tcW w:w="1926" w:type="dxa"/>
          </w:tcPr>
          <w:p w14:paraId="66C7010B" w14:textId="0939802F"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r w:rsidRPr="00E04CAF">
              <w:rPr>
                <w:rFonts w:eastAsia="Calibri" w:cstheme="minorHAnsi"/>
                <w:sz w:val="20"/>
                <w:szCs w:val="20"/>
              </w:rPr>
              <w:t>participated as public repository</w:t>
            </w:r>
          </w:p>
        </w:tc>
      </w:tr>
      <w:tr w:rsidR="00637995" w:rsidRPr="0041544A" w14:paraId="2BE662BA" w14:textId="77777777" w:rsidTr="6EE14823">
        <w:trPr>
          <w:cantSplit/>
        </w:trPr>
        <w:tc>
          <w:tcPr>
            <w:tcW w:w="580" w:type="dxa"/>
          </w:tcPr>
          <w:p w14:paraId="736D2DBB" w14:textId="6B5633DE" w:rsidR="00076739" w:rsidRPr="0041544A" w:rsidRDefault="18CFB28F">
            <w:pPr>
              <w:spacing w:line="276" w:lineRule="auto"/>
              <w:jc w:val="both"/>
              <w:rPr>
                <w:rFonts w:ascii="Calibri" w:eastAsia="Calibri" w:hAnsi="Calibri" w:cs="Calibri"/>
                <w:sz w:val="20"/>
                <w:szCs w:val="20"/>
              </w:rPr>
            </w:pPr>
            <w:r w:rsidRPr="30C7FF53">
              <w:rPr>
                <w:rFonts w:eastAsia="Calibri"/>
                <w:sz w:val="20"/>
                <w:szCs w:val="20"/>
              </w:rPr>
              <w:t>27</w:t>
            </w:r>
          </w:p>
        </w:tc>
        <w:tc>
          <w:tcPr>
            <w:tcW w:w="1665" w:type="dxa"/>
          </w:tcPr>
          <w:p w14:paraId="3E804F8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District VI Human Resource Development Council </w:t>
            </w:r>
            <w:r>
              <w:rPr>
                <w:rFonts w:eastAsia="Calibri" w:cstheme="minorHAnsi"/>
                <w:sz w:val="20"/>
                <w:szCs w:val="20"/>
              </w:rPr>
              <w:t>(HRDC) in Lewistown</w:t>
            </w:r>
          </w:p>
        </w:tc>
        <w:tc>
          <w:tcPr>
            <w:tcW w:w="1350" w:type="dxa"/>
          </w:tcPr>
          <w:p w14:paraId="5B78AE5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Regional organization; Services – Elderly Persons; Services – Children </w:t>
            </w:r>
          </w:p>
        </w:tc>
        <w:tc>
          <w:tcPr>
            <w:tcW w:w="4140" w:type="dxa"/>
          </w:tcPr>
          <w:p w14:paraId="3FC5ECF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Lead-Based Paint Strategy; Anti-Poverty Strategy</w:t>
            </w:r>
          </w:p>
        </w:tc>
        <w:tc>
          <w:tcPr>
            <w:tcW w:w="1926" w:type="dxa"/>
          </w:tcPr>
          <w:p w14:paraId="2720AF0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r w:rsidRPr="00E04CAF">
              <w:rPr>
                <w:rFonts w:eastAsia="Calibri" w:cstheme="minorHAnsi"/>
                <w:sz w:val="20"/>
                <w:szCs w:val="20"/>
              </w:rPr>
              <w:t>participated as public repository</w:t>
            </w:r>
          </w:p>
        </w:tc>
      </w:tr>
      <w:tr w:rsidR="00637995" w:rsidRPr="0041544A" w14:paraId="25840464" w14:textId="77777777" w:rsidTr="6EE14823">
        <w:trPr>
          <w:cantSplit/>
        </w:trPr>
        <w:tc>
          <w:tcPr>
            <w:tcW w:w="580" w:type="dxa"/>
          </w:tcPr>
          <w:p w14:paraId="4066373D" w14:textId="3082ECDF" w:rsidR="00076739" w:rsidRPr="0041544A" w:rsidRDefault="3DC36FCF" w:rsidP="54FDEEE5">
            <w:pPr>
              <w:spacing w:line="276" w:lineRule="auto"/>
              <w:jc w:val="both"/>
              <w:rPr>
                <w:rFonts w:eastAsia="Calibri"/>
                <w:sz w:val="20"/>
                <w:szCs w:val="20"/>
              </w:rPr>
            </w:pPr>
            <w:r w:rsidRPr="30C7FF53">
              <w:rPr>
                <w:rFonts w:eastAsia="Calibri"/>
                <w:sz w:val="20"/>
                <w:szCs w:val="20"/>
              </w:rPr>
              <w:t>28</w:t>
            </w:r>
          </w:p>
        </w:tc>
        <w:tc>
          <w:tcPr>
            <w:tcW w:w="1665" w:type="dxa"/>
          </w:tcPr>
          <w:p w14:paraId="2C61E57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District VII </w:t>
            </w:r>
            <w:r>
              <w:rPr>
                <w:rFonts w:eastAsia="Calibri" w:cstheme="minorHAnsi"/>
                <w:sz w:val="20"/>
                <w:szCs w:val="20"/>
              </w:rPr>
              <w:t>Human Resource Development Council (</w:t>
            </w:r>
            <w:r w:rsidRPr="0041544A">
              <w:rPr>
                <w:rFonts w:eastAsia="Calibri" w:cstheme="minorHAnsi"/>
                <w:sz w:val="20"/>
                <w:szCs w:val="20"/>
              </w:rPr>
              <w:t>HRDC</w:t>
            </w:r>
            <w:r>
              <w:rPr>
                <w:rFonts w:eastAsia="Calibri" w:cstheme="minorHAnsi"/>
                <w:sz w:val="20"/>
                <w:szCs w:val="20"/>
              </w:rPr>
              <w:t>)</w:t>
            </w:r>
            <w:r w:rsidRPr="0041544A">
              <w:rPr>
                <w:rFonts w:eastAsia="Calibri" w:cstheme="minorHAnsi"/>
                <w:sz w:val="20"/>
                <w:szCs w:val="20"/>
              </w:rPr>
              <w:t xml:space="preserve"> in Billings</w:t>
            </w:r>
          </w:p>
        </w:tc>
        <w:tc>
          <w:tcPr>
            <w:tcW w:w="1350" w:type="dxa"/>
          </w:tcPr>
          <w:p w14:paraId="42AC086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Regional organization; Services – Elderly Persons; Services – Children </w:t>
            </w:r>
          </w:p>
        </w:tc>
        <w:tc>
          <w:tcPr>
            <w:tcW w:w="4140" w:type="dxa"/>
          </w:tcPr>
          <w:p w14:paraId="5CCC186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 Needs – Chronically Homeless; Homeless Needs – Families with Children; Homelessness Needs – Veterans; Homelessness Needs – Unaccompanied Youth; Homelessness Strategy; Non-Homeless Special Needs; HOPWA Strategy; Lead-Based Paint Strategy; Anti-Poverty Strategy</w:t>
            </w:r>
          </w:p>
        </w:tc>
        <w:tc>
          <w:tcPr>
            <w:tcW w:w="1926" w:type="dxa"/>
          </w:tcPr>
          <w:p w14:paraId="1CD153AE" w14:textId="7DF74883"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14:paraId="0A1A60A7" w14:textId="77777777" w:rsidTr="6EE14823">
        <w:trPr>
          <w:cantSplit/>
          <w:trHeight w:val="300"/>
        </w:trPr>
        <w:tc>
          <w:tcPr>
            <w:tcW w:w="580" w:type="dxa"/>
          </w:tcPr>
          <w:p w14:paraId="20C587C4" w14:textId="28159C91" w:rsidR="68D5A60B" w:rsidRDefault="4A442910" w:rsidP="68D5A60B">
            <w:pPr>
              <w:spacing w:line="276" w:lineRule="auto"/>
              <w:jc w:val="both"/>
              <w:rPr>
                <w:rFonts w:eastAsia="Calibri"/>
                <w:sz w:val="20"/>
                <w:szCs w:val="20"/>
              </w:rPr>
            </w:pPr>
            <w:r w:rsidRPr="30C7FF53">
              <w:rPr>
                <w:rFonts w:eastAsia="Calibri"/>
                <w:sz w:val="20"/>
                <w:szCs w:val="20"/>
              </w:rPr>
              <w:t>29</w:t>
            </w:r>
          </w:p>
        </w:tc>
        <w:tc>
          <w:tcPr>
            <w:tcW w:w="1665" w:type="dxa"/>
          </w:tcPr>
          <w:p w14:paraId="4CC152B0" w14:textId="25CFB794" w:rsidR="53AC744F" w:rsidRDefault="70345BA6" w:rsidP="68D5A60B">
            <w:pPr>
              <w:spacing w:line="276" w:lineRule="auto"/>
              <w:rPr>
                <w:rFonts w:eastAsia="Calibri"/>
                <w:sz w:val="20"/>
                <w:szCs w:val="20"/>
              </w:rPr>
            </w:pPr>
            <w:r w:rsidRPr="30C7FF53">
              <w:rPr>
                <w:rFonts w:eastAsia="Calibri"/>
                <w:sz w:val="20"/>
                <w:szCs w:val="20"/>
              </w:rPr>
              <w:t>District IX Human Resource Development Council (HRDC) in Bozeman</w:t>
            </w:r>
          </w:p>
        </w:tc>
        <w:tc>
          <w:tcPr>
            <w:tcW w:w="1350" w:type="dxa"/>
          </w:tcPr>
          <w:p w14:paraId="27CF48C6" w14:textId="76886798" w:rsidR="53AC744F" w:rsidRDefault="70345BA6" w:rsidP="68D5A60B">
            <w:pPr>
              <w:spacing w:line="276" w:lineRule="auto"/>
              <w:rPr>
                <w:rFonts w:eastAsia="Calibri"/>
                <w:sz w:val="20"/>
                <w:szCs w:val="20"/>
              </w:rPr>
            </w:pPr>
            <w:r w:rsidRPr="30C7FF53">
              <w:rPr>
                <w:rFonts w:eastAsia="Calibri"/>
                <w:sz w:val="20"/>
                <w:szCs w:val="20"/>
              </w:rPr>
              <w:t>Regional organization; Services – Elderly Persons; Services – Children</w:t>
            </w:r>
          </w:p>
        </w:tc>
        <w:tc>
          <w:tcPr>
            <w:tcW w:w="4140" w:type="dxa"/>
          </w:tcPr>
          <w:p w14:paraId="5A85A1B5" w14:textId="010F3B12" w:rsidR="68D5A60B" w:rsidRDefault="68D5A60B" w:rsidP="68D5A60B">
            <w:pPr>
              <w:spacing w:line="276" w:lineRule="auto"/>
              <w:rPr>
                <w:rFonts w:eastAsia="Calibri"/>
                <w:sz w:val="20"/>
                <w:szCs w:val="20"/>
              </w:rPr>
            </w:pPr>
          </w:p>
        </w:tc>
        <w:tc>
          <w:tcPr>
            <w:tcW w:w="1926" w:type="dxa"/>
          </w:tcPr>
          <w:p w14:paraId="11FEBE3C" w14:textId="061249F0" w:rsidR="53AC744F" w:rsidRDefault="70345BA6" w:rsidP="68D5A60B">
            <w:pPr>
              <w:spacing w:line="276" w:lineRule="auto"/>
              <w:rPr>
                <w:rFonts w:eastAsia="Calibri"/>
                <w:sz w:val="20"/>
                <w:szCs w:val="20"/>
              </w:rPr>
            </w:pPr>
            <w:r w:rsidRPr="30C7FF53">
              <w:rPr>
                <w:rFonts w:eastAsia="Calibri"/>
                <w:sz w:val="20"/>
                <w:szCs w:val="20"/>
              </w:rPr>
              <w:t>Participated as a public repository</w:t>
            </w:r>
          </w:p>
        </w:tc>
      </w:tr>
      <w:tr w:rsidR="00637995" w:rsidRPr="0041544A" w14:paraId="5F1A171F" w14:textId="77777777" w:rsidTr="6EE14823">
        <w:trPr>
          <w:cantSplit/>
        </w:trPr>
        <w:tc>
          <w:tcPr>
            <w:tcW w:w="580" w:type="dxa"/>
          </w:tcPr>
          <w:p w14:paraId="54A9436C" w14:textId="447EB6FC" w:rsidR="00076739" w:rsidRPr="0041544A" w:rsidRDefault="2577D467">
            <w:pPr>
              <w:spacing w:line="276" w:lineRule="auto"/>
              <w:jc w:val="both"/>
              <w:rPr>
                <w:rFonts w:ascii="Calibri" w:eastAsia="Calibri" w:hAnsi="Calibri" w:cs="Calibri"/>
                <w:sz w:val="20"/>
                <w:szCs w:val="20"/>
              </w:rPr>
            </w:pPr>
            <w:r w:rsidRPr="30C7FF53">
              <w:rPr>
                <w:rFonts w:eastAsia="Calibri"/>
                <w:sz w:val="20"/>
                <w:szCs w:val="20"/>
              </w:rPr>
              <w:t>30</w:t>
            </w:r>
          </w:p>
        </w:tc>
        <w:tc>
          <w:tcPr>
            <w:tcW w:w="1665" w:type="dxa"/>
          </w:tcPr>
          <w:p w14:paraId="7C8C70E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District XI Human Resource </w:t>
            </w:r>
            <w:r>
              <w:rPr>
                <w:rFonts w:eastAsia="Calibri" w:cstheme="minorHAnsi"/>
                <w:sz w:val="20"/>
                <w:szCs w:val="20"/>
              </w:rPr>
              <w:t xml:space="preserve">Development </w:t>
            </w:r>
            <w:r w:rsidRPr="0041544A">
              <w:rPr>
                <w:rFonts w:eastAsia="Calibri" w:cstheme="minorHAnsi"/>
                <w:sz w:val="20"/>
                <w:szCs w:val="20"/>
              </w:rPr>
              <w:t>Council</w:t>
            </w:r>
            <w:r>
              <w:rPr>
                <w:rFonts w:eastAsia="Calibri" w:cstheme="minorHAnsi"/>
                <w:sz w:val="20"/>
                <w:szCs w:val="20"/>
              </w:rPr>
              <w:t xml:space="preserve"> (HRDC) in Superior</w:t>
            </w:r>
          </w:p>
        </w:tc>
        <w:tc>
          <w:tcPr>
            <w:tcW w:w="1350" w:type="dxa"/>
          </w:tcPr>
          <w:p w14:paraId="32D54D7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Regional organization; Services – Elderly Persons; Services – Children </w:t>
            </w:r>
          </w:p>
        </w:tc>
        <w:tc>
          <w:tcPr>
            <w:tcW w:w="4140" w:type="dxa"/>
          </w:tcPr>
          <w:p w14:paraId="3C0A144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Lead-Based Paint Strategy; Anti-Poverty Strategy</w:t>
            </w:r>
          </w:p>
        </w:tc>
        <w:tc>
          <w:tcPr>
            <w:tcW w:w="1926" w:type="dxa"/>
          </w:tcPr>
          <w:p w14:paraId="69B85176" w14:textId="4EC18910"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r w:rsidRPr="00BB3DE2">
              <w:rPr>
                <w:rFonts w:eastAsia="Calibri" w:cstheme="minorHAnsi"/>
                <w:sz w:val="20"/>
                <w:szCs w:val="20"/>
              </w:rPr>
              <w:t>participated as public repository</w:t>
            </w:r>
            <w:r w:rsidR="006D1AD3">
              <w:rPr>
                <w:rFonts w:eastAsia="Calibri" w:cstheme="minorHAnsi"/>
                <w:sz w:val="20"/>
                <w:szCs w:val="20"/>
              </w:rPr>
              <w:t>; attended public hearing</w:t>
            </w:r>
          </w:p>
        </w:tc>
      </w:tr>
      <w:tr w:rsidR="00637995" w:rsidRPr="0041544A" w14:paraId="5E2EDBCF" w14:textId="77777777" w:rsidTr="6EE14823">
        <w:trPr>
          <w:cantSplit/>
        </w:trPr>
        <w:tc>
          <w:tcPr>
            <w:tcW w:w="580" w:type="dxa"/>
          </w:tcPr>
          <w:p w14:paraId="06F5F8C0" w14:textId="2AC235FF" w:rsidR="00076739" w:rsidRPr="0041544A" w:rsidRDefault="2C356756">
            <w:pPr>
              <w:spacing w:line="276" w:lineRule="auto"/>
              <w:jc w:val="both"/>
              <w:rPr>
                <w:rFonts w:ascii="Calibri" w:eastAsia="Calibri" w:hAnsi="Calibri" w:cs="Calibri"/>
                <w:sz w:val="20"/>
                <w:szCs w:val="20"/>
              </w:rPr>
            </w:pPr>
            <w:r w:rsidRPr="30C7FF53">
              <w:rPr>
                <w:rFonts w:eastAsia="Calibri"/>
                <w:sz w:val="20"/>
                <w:szCs w:val="20"/>
              </w:rPr>
              <w:lastRenderedPageBreak/>
              <w:t>31</w:t>
            </w:r>
          </w:p>
        </w:tc>
        <w:tc>
          <w:tcPr>
            <w:tcW w:w="1665" w:type="dxa"/>
          </w:tcPr>
          <w:p w14:paraId="2554943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District XII </w:t>
            </w:r>
            <w:r>
              <w:rPr>
                <w:rFonts w:eastAsia="Calibri" w:cstheme="minorHAnsi"/>
                <w:sz w:val="20"/>
                <w:szCs w:val="20"/>
              </w:rPr>
              <w:t>Human Resource Development Council (</w:t>
            </w:r>
            <w:r w:rsidRPr="0041544A">
              <w:rPr>
                <w:rFonts w:eastAsia="Calibri" w:cstheme="minorHAnsi"/>
                <w:sz w:val="20"/>
                <w:szCs w:val="20"/>
              </w:rPr>
              <w:t>HRDC</w:t>
            </w:r>
            <w:r>
              <w:rPr>
                <w:rFonts w:eastAsia="Calibri" w:cstheme="minorHAnsi"/>
                <w:sz w:val="20"/>
                <w:szCs w:val="20"/>
              </w:rPr>
              <w:t>)</w:t>
            </w:r>
            <w:r w:rsidRPr="0041544A">
              <w:rPr>
                <w:rFonts w:eastAsia="Calibri" w:cstheme="minorHAnsi"/>
                <w:sz w:val="20"/>
                <w:szCs w:val="20"/>
              </w:rPr>
              <w:t xml:space="preserve"> in Butte</w:t>
            </w:r>
          </w:p>
        </w:tc>
        <w:tc>
          <w:tcPr>
            <w:tcW w:w="1350" w:type="dxa"/>
          </w:tcPr>
          <w:p w14:paraId="38C72A9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Regional organization; Services – Elderly Persons; Services – Children </w:t>
            </w:r>
          </w:p>
        </w:tc>
        <w:tc>
          <w:tcPr>
            <w:tcW w:w="4140" w:type="dxa"/>
          </w:tcPr>
          <w:p w14:paraId="4BB8F10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 Needs – Chronically Homeless; Homeless Needs – Families with Children; Homelessness Needs – Veterans; Homelessness Needs – Unaccompanied Youth; Homelessness Strategy; Non-Homeless Special Needs; HOPWA Strategy; Lead-Based Paint Strategy; Anti-Poverty Strategy</w:t>
            </w:r>
          </w:p>
        </w:tc>
        <w:tc>
          <w:tcPr>
            <w:tcW w:w="1926" w:type="dxa"/>
          </w:tcPr>
          <w:p w14:paraId="1103E9D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42A2D1DF" w14:textId="77777777" w:rsidTr="6EE14823">
        <w:trPr>
          <w:cantSplit/>
        </w:trPr>
        <w:tc>
          <w:tcPr>
            <w:tcW w:w="580" w:type="dxa"/>
          </w:tcPr>
          <w:p w14:paraId="46B373F5" w14:textId="26C8ACF8" w:rsidR="00076739" w:rsidRPr="0041544A" w:rsidRDefault="1A85719E">
            <w:pPr>
              <w:spacing w:line="276" w:lineRule="auto"/>
              <w:jc w:val="both"/>
              <w:rPr>
                <w:rFonts w:ascii="Calibri" w:eastAsia="Calibri" w:hAnsi="Calibri" w:cs="Calibri"/>
                <w:sz w:val="20"/>
                <w:szCs w:val="20"/>
              </w:rPr>
            </w:pPr>
            <w:r w:rsidRPr="30C7FF53">
              <w:rPr>
                <w:rFonts w:eastAsia="Calibri"/>
                <w:sz w:val="20"/>
                <w:szCs w:val="20"/>
              </w:rPr>
              <w:t>32</w:t>
            </w:r>
          </w:p>
        </w:tc>
        <w:tc>
          <w:tcPr>
            <w:tcW w:w="1665" w:type="dxa"/>
          </w:tcPr>
          <w:p w14:paraId="6D745D1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Eastern Plains Economic Development Corporation</w:t>
            </w:r>
          </w:p>
        </w:tc>
        <w:tc>
          <w:tcPr>
            <w:tcW w:w="1350" w:type="dxa"/>
          </w:tcPr>
          <w:p w14:paraId="2424021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1470F1D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4BF9A103" w14:textId="7CEAC61C"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7C54010F" w14:textId="77777777" w:rsidTr="6EE14823">
        <w:trPr>
          <w:cantSplit/>
        </w:trPr>
        <w:tc>
          <w:tcPr>
            <w:tcW w:w="580" w:type="dxa"/>
          </w:tcPr>
          <w:p w14:paraId="7B5A336C" w14:textId="190319EC" w:rsidR="00076739" w:rsidRPr="0041544A" w:rsidRDefault="73B6548F">
            <w:pPr>
              <w:spacing w:line="276" w:lineRule="auto"/>
              <w:jc w:val="both"/>
              <w:rPr>
                <w:rFonts w:ascii="Calibri" w:eastAsia="Calibri" w:hAnsi="Calibri" w:cs="Calibri"/>
                <w:sz w:val="20"/>
                <w:szCs w:val="20"/>
              </w:rPr>
            </w:pPr>
            <w:r w:rsidRPr="30C7FF53">
              <w:rPr>
                <w:rFonts w:eastAsia="Calibri"/>
                <w:sz w:val="20"/>
                <w:szCs w:val="20"/>
              </w:rPr>
              <w:t>33</w:t>
            </w:r>
          </w:p>
        </w:tc>
        <w:tc>
          <w:tcPr>
            <w:tcW w:w="1665" w:type="dxa"/>
          </w:tcPr>
          <w:p w14:paraId="4E73A727" w14:textId="77777777" w:rsidR="00076739" w:rsidRPr="0041544A" w:rsidRDefault="00076739" w:rsidP="00076739">
            <w:pPr>
              <w:spacing w:line="276" w:lineRule="auto"/>
              <w:rPr>
                <w:rFonts w:eastAsia="Calibri" w:cstheme="minorHAnsi"/>
                <w:sz w:val="20"/>
                <w:szCs w:val="20"/>
              </w:rPr>
            </w:pPr>
            <w:proofErr w:type="spellStart"/>
            <w:r w:rsidRPr="0041544A">
              <w:rPr>
                <w:rFonts w:eastAsia="Calibri" w:cstheme="minorHAnsi"/>
                <w:sz w:val="20"/>
                <w:szCs w:val="20"/>
              </w:rPr>
              <w:t>Ecolibrium</w:t>
            </w:r>
            <w:proofErr w:type="spellEnd"/>
          </w:p>
        </w:tc>
        <w:tc>
          <w:tcPr>
            <w:tcW w:w="1350" w:type="dxa"/>
          </w:tcPr>
          <w:p w14:paraId="45E052D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Business leaders</w:t>
            </w:r>
          </w:p>
        </w:tc>
        <w:tc>
          <w:tcPr>
            <w:tcW w:w="4140" w:type="dxa"/>
          </w:tcPr>
          <w:p w14:paraId="49D5F8F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Homelessness Strategy; Non-Homeless Special Needs; HOPWA Strategy; Market Analysis; Economic Development; Lead-Based Paint Strategy; Other – Infrastructure </w:t>
            </w:r>
          </w:p>
        </w:tc>
        <w:tc>
          <w:tcPr>
            <w:tcW w:w="1926" w:type="dxa"/>
          </w:tcPr>
          <w:p w14:paraId="30BDCC5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3057255E" w14:textId="77777777" w:rsidTr="6EE14823">
        <w:trPr>
          <w:cantSplit/>
        </w:trPr>
        <w:tc>
          <w:tcPr>
            <w:tcW w:w="580" w:type="dxa"/>
          </w:tcPr>
          <w:p w14:paraId="3DB9A126" w14:textId="1D13DD3B" w:rsidR="00076739" w:rsidRPr="0041544A" w:rsidRDefault="3BCDCE06" w:rsidP="54FDEEE5">
            <w:pPr>
              <w:spacing w:line="276" w:lineRule="auto"/>
              <w:jc w:val="both"/>
              <w:rPr>
                <w:rFonts w:eastAsia="Calibri"/>
                <w:sz w:val="20"/>
                <w:szCs w:val="20"/>
              </w:rPr>
            </w:pPr>
            <w:r w:rsidRPr="30C7FF53">
              <w:rPr>
                <w:rFonts w:eastAsia="Calibri"/>
                <w:sz w:val="20"/>
                <w:szCs w:val="20"/>
              </w:rPr>
              <w:t>34</w:t>
            </w:r>
          </w:p>
        </w:tc>
        <w:tc>
          <w:tcPr>
            <w:tcW w:w="1665" w:type="dxa"/>
          </w:tcPr>
          <w:p w14:paraId="1567FCA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Fort Belknap Housing Authority</w:t>
            </w:r>
          </w:p>
        </w:tc>
        <w:tc>
          <w:tcPr>
            <w:tcW w:w="1350" w:type="dxa"/>
          </w:tcPr>
          <w:p w14:paraId="5154884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32FDF8E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HOPWA Strategy; Lead-Based Paint Strategy</w:t>
            </w:r>
          </w:p>
        </w:tc>
        <w:tc>
          <w:tcPr>
            <w:tcW w:w="1926" w:type="dxa"/>
          </w:tcPr>
          <w:p w14:paraId="54432E6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7963D4AD" w14:textId="77777777" w:rsidTr="6EE14823">
        <w:trPr>
          <w:cantSplit/>
        </w:trPr>
        <w:tc>
          <w:tcPr>
            <w:tcW w:w="580" w:type="dxa"/>
          </w:tcPr>
          <w:p w14:paraId="1A4150BB" w14:textId="642C276A" w:rsidR="00076739" w:rsidRPr="0041544A" w:rsidRDefault="798C8378">
            <w:pPr>
              <w:spacing w:line="276" w:lineRule="auto"/>
              <w:jc w:val="both"/>
              <w:rPr>
                <w:rFonts w:ascii="Calibri" w:eastAsia="Calibri" w:hAnsi="Calibri" w:cs="Calibri"/>
                <w:sz w:val="20"/>
                <w:szCs w:val="20"/>
              </w:rPr>
            </w:pPr>
            <w:r w:rsidRPr="30C7FF53">
              <w:rPr>
                <w:rFonts w:eastAsia="Calibri"/>
                <w:sz w:val="20"/>
                <w:szCs w:val="20"/>
              </w:rPr>
              <w:t>35</w:t>
            </w:r>
          </w:p>
        </w:tc>
        <w:tc>
          <w:tcPr>
            <w:tcW w:w="1665" w:type="dxa"/>
          </w:tcPr>
          <w:p w14:paraId="56C2D7A5"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Fort Peck Housing Authority</w:t>
            </w:r>
          </w:p>
        </w:tc>
        <w:tc>
          <w:tcPr>
            <w:tcW w:w="1350" w:type="dxa"/>
          </w:tcPr>
          <w:p w14:paraId="0BD7BA3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6E10CC8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HOPWA Strategy; Lead-Based Paint Strategy</w:t>
            </w:r>
          </w:p>
        </w:tc>
        <w:tc>
          <w:tcPr>
            <w:tcW w:w="1926" w:type="dxa"/>
          </w:tcPr>
          <w:p w14:paraId="1583B92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07A93856" w14:textId="77777777" w:rsidTr="6EE14823">
        <w:trPr>
          <w:cantSplit/>
        </w:trPr>
        <w:tc>
          <w:tcPr>
            <w:tcW w:w="580" w:type="dxa"/>
          </w:tcPr>
          <w:p w14:paraId="4CF684F2" w14:textId="7FB5A3A3" w:rsidR="00076739" w:rsidRPr="0041544A" w:rsidRDefault="4A8500FC" w:rsidP="54FDEEE5">
            <w:pPr>
              <w:spacing w:line="276" w:lineRule="auto"/>
              <w:jc w:val="both"/>
              <w:rPr>
                <w:rFonts w:eastAsia="Calibri"/>
                <w:sz w:val="20"/>
                <w:szCs w:val="20"/>
              </w:rPr>
            </w:pPr>
            <w:r w:rsidRPr="30C7FF53">
              <w:rPr>
                <w:rFonts w:eastAsia="Calibri"/>
                <w:sz w:val="20"/>
                <w:szCs w:val="20"/>
              </w:rPr>
              <w:t>36</w:t>
            </w:r>
          </w:p>
        </w:tc>
        <w:tc>
          <w:tcPr>
            <w:tcW w:w="1665" w:type="dxa"/>
          </w:tcPr>
          <w:p w14:paraId="2857226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GL Development</w:t>
            </w:r>
          </w:p>
        </w:tc>
        <w:tc>
          <w:tcPr>
            <w:tcW w:w="1350" w:type="dxa"/>
          </w:tcPr>
          <w:p w14:paraId="31CF0E13" w14:textId="34F85554" w:rsidR="00076739" w:rsidRPr="0041544A" w:rsidRDefault="009B79F1" w:rsidP="00076739">
            <w:pPr>
              <w:spacing w:line="276" w:lineRule="auto"/>
              <w:rPr>
                <w:rFonts w:eastAsia="Calibri" w:cstheme="minorHAnsi"/>
                <w:sz w:val="20"/>
                <w:szCs w:val="20"/>
              </w:rPr>
            </w:pPr>
            <w:r>
              <w:rPr>
                <w:rFonts w:eastAsia="Calibri" w:cstheme="minorHAnsi"/>
                <w:sz w:val="20"/>
                <w:szCs w:val="20"/>
              </w:rPr>
              <w:t>Business Leaders</w:t>
            </w:r>
          </w:p>
        </w:tc>
        <w:tc>
          <w:tcPr>
            <w:tcW w:w="4140" w:type="dxa"/>
          </w:tcPr>
          <w:p w14:paraId="6F5BCE2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Families with Children; Homelessness Needs – Veterans; Homelessness Needs – Unaccompanied Youth; Homelessness Strategy; Non-Homeless Special Needs; Market Analysis; Economic Development; Lead-Based Paint Strategy; Anti-Poverty Strategy; Other – Infrastructure</w:t>
            </w:r>
          </w:p>
        </w:tc>
        <w:tc>
          <w:tcPr>
            <w:tcW w:w="1926" w:type="dxa"/>
          </w:tcPr>
          <w:p w14:paraId="2FFFE96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3136BBF1" w14:textId="77777777" w:rsidTr="6EE14823">
        <w:trPr>
          <w:cantSplit/>
        </w:trPr>
        <w:tc>
          <w:tcPr>
            <w:tcW w:w="580" w:type="dxa"/>
          </w:tcPr>
          <w:p w14:paraId="01E2E5A8" w14:textId="27A548D5" w:rsidR="00076739" w:rsidRPr="0041544A" w:rsidRDefault="1981CF5B" w:rsidP="54FDEEE5">
            <w:pPr>
              <w:spacing w:line="276" w:lineRule="auto"/>
              <w:jc w:val="both"/>
              <w:rPr>
                <w:rFonts w:eastAsia="Calibri"/>
                <w:sz w:val="20"/>
                <w:szCs w:val="20"/>
              </w:rPr>
            </w:pPr>
            <w:r w:rsidRPr="30C7FF53">
              <w:rPr>
                <w:rFonts w:eastAsia="Calibri"/>
                <w:sz w:val="20"/>
                <w:szCs w:val="20"/>
              </w:rPr>
              <w:t>37</w:t>
            </w:r>
          </w:p>
        </w:tc>
        <w:tc>
          <w:tcPr>
            <w:tcW w:w="1665" w:type="dxa"/>
          </w:tcPr>
          <w:p w14:paraId="78910A2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Glasgow Housing Authority</w:t>
            </w:r>
          </w:p>
        </w:tc>
        <w:tc>
          <w:tcPr>
            <w:tcW w:w="1350" w:type="dxa"/>
          </w:tcPr>
          <w:p w14:paraId="6F3FC69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7CB1D3B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HOPWA Strategy; Lead-Based Paint Strategy</w:t>
            </w:r>
          </w:p>
        </w:tc>
        <w:tc>
          <w:tcPr>
            <w:tcW w:w="1926" w:type="dxa"/>
          </w:tcPr>
          <w:p w14:paraId="4D14C78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25A8DCBD" w14:textId="77777777" w:rsidTr="6EE14823">
        <w:trPr>
          <w:cantSplit/>
        </w:trPr>
        <w:tc>
          <w:tcPr>
            <w:tcW w:w="580" w:type="dxa"/>
          </w:tcPr>
          <w:p w14:paraId="015E3F17" w14:textId="64DD295F" w:rsidR="00076739" w:rsidRPr="0041544A" w:rsidRDefault="52E0E72B">
            <w:pPr>
              <w:spacing w:line="276" w:lineRule="auto"/>
              <w:jc w:val="both"/>
              <w:rPr>
                <w:rFonts w:ascii="Calibri" w:eastAsia="Calibri" w:hAnsi="Calibri" w:cs="Calibri"/>
                <w:sz w:val="20"/>
                <w:szCs w:val="20"/>
              </w:rPr>
            </w:pPr>
            <w:r w:rsidRPr="30C7FF53">
              <w:rPr>
                <w:rFonts w:eastAsia="Calibri"/>
                <w:sz w:val="20"/>
                <w:szCs w:val="20"/>
              </w:rPr>
              <w:t>38</w:t>
            </w:r>
          </w:p>
        </w:tc>
        <w:tc>
          <w:tcPr>
            <w:tcW w:w="1665" w:type="dxa"/>
          </w:tcPr>
          <w:p w14:paraId="17A7043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Great Falls Public Housing Authority</w:t>
            </w:r>
            <w:r>
              <w:rPr>
                <w:rFonts w:eastAsia="Calibri" w:cstheme="minorHAnsi"/>
                <w:sz w:val="20"/>
                <w:szCs w:val="20"/>
              </w:rPr>
              <w:t xml:space="preserve"> (PHA)</w:t>
            </w:r>
          </w:p>
        </w:tc>
        <w:tc>
          <w:tcPr>
            <w:tcW w:w="1350" w:type="dxa"/>
          </w:tcPr>
          <w:p w14:paraId="7D586D1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445D236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HOPWA Strategy; Lead-Based Paint Strategy</w:t>
            </w:r>
          </w:p>
        </w:tc>
        <w:tc>
          <w:tcPr>
            <w:tcW w:w="1926" w:type="dxa"/>
          </w:tcPr>
          <w:p w14:paraId="44239F7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5B224236" w14:textId="77777777" w:rsidTr="6EE14823">
        <w:trPr>
          <w:cantSplit/>
        </w:trPr>
        <w:tc>
          <w:tcPr>
            <w:tcW w:w="580" w:type="dxa"/>
          </w:tcPr>
          <w:p w14:paraId="5A290FF5" w14:textId="0B77303F" w:rsidR="00076739" w:rsidRPr="0041544A" w:rsidRDefault="000B7ECE" w:rsidP="54FDEEE5">
            <w:pPr>
              <w:spacing w:line="276" w:lineRule="auto"/>
              <w:jc w:val="both"/>
              <w:rPr>
                <w:rFonts w:eastAsia="Calibri"/>
                <w:sz w:val="20"/>
                <w:szCs w:val="20"/>
              </w:rPr>
            </w:pPr>
            <w:r w:rsidRPr="30C7FF53">
              <w:rPr>
                <w:rFonts w:eastAsia="Calibri"/>
                <w:sz w:val="20"/>
                <w:szCs w:val="20"/>
              </w:rPr>
              <w:lastRenderedPageBreak/>
              <w:t>3</w:t>
            </w:r>
            <w:r w:rsidR="7C71F3F0" w:rsidRPr="30C7FF53">
              <w:rPr>
                <w:rFonts w:eastAsia="Calibri"/>
                <w:sz w:val="20"/>
                <w:szCs w:val="20"/>
              </w:rPr>
              <w:t>9</w:t>
            </w:r>
          </w:p>
        </w:tc>
        <w:tc>
          <w:tcPr>
            <w:tcW w:w="1665" w:type="dxa"/>
          </w:tcPr>
          <w:p w14:paraId="745606E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Great Northern Development Corporation</w:t>
            </w:r>
          </w:p>
        </w:tc>
        <w:tc>
          <w:tcPr>
            <w:tcW w:w="1350" w:type="dxa"/>
          </w:tcPr>
          <w:p w14:paraId="235421D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6DA2FF0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211FC70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 participated as public repository</w:t>
            </w:r>
          </w:p>
        </w:tc>
      </w:tr>
      <w:tr w:rsidR="00637995" w:rsidRPr="0041544A" w14:paraId="3F908DCA" w14:textId="77777777" w:rsidTr="6EE14823">
        <w:trPr>
          <w:cantSplit/>
        </w:trPr>
        <w:tc>
          <w:tcPr>
            <w:tcW w:w="580" w:type="dxa"/>
          </w:tcPr>
          <w:p w14:paraId="4C52EB15" w14:textId="26729CC9" w:rsidR="00076739" w:rsidRPr="0041544A" w:rsidRDefault="116E45C2">
            <w:pPr>
              <w:spacing w:line="276" w:lineRule="auto"/>
              <w:jc w:val="both"/>
              <w:rPr>
                <w:rFonts w:ascii="Calibri" w:eastAsia="Calibri" w:hAnsi="Calibri" w:cs="Calibri"/>
                <w:sz w:val="20"/>
                <w:szCs w:val="20"/>
              </w:rPr>
            </w:pPr>
            <w:r w:rsidRPr="30C7FF53">
              <w:rPr>
                <w:rFonts w:eastAsia="Calibri"/>
                <w:sz w:val="20"/>
                <w:szCs w:val="20"/>
              </w:rPr>
              <w:t>40</w:t>
            </w:r>
          </w:p>
        </w:tc>
        <w:tc>
          <w:tcPr>
            <w:tcW w:w="1665" w:type="dxa"/>
          </w:tcPr>
          <w:p w14:paraId="241159D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Great West Engineering</w:t>
            </w:r>
          </w:p>
        </w:tc>
        <w:tc>
          <w:tcPr>
            <w:tcW w:w="1350" w:type="dxa"/>
          </w:tcPr>
          <w:p w14:paraId="48AFBB4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Business leaders</w:t>
            </w:r>
          </w:p>
        </w:tc>
        <w:tc>
          <w:tcPr>
            <w:tcW w:w="4140" w:type="dxa"/>
          </w:tcPr>
          <w:p w14:paraId="18B0ABE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Non-Homeless Special Needs; Market Analysis; Economic Development; Other – Infrastructure </w:t>
            </w:r>
          </w:p>
        </w:tc>
        <w:tc>
          <w:tcPr>
            <w:tcW w:w="1926" w:type="dxa"/>
          </w:tcPr>
          <w:p w14:paraId="4CBE675F" w14:textId="55BF2731"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0542438D" w14:textId="77777777" w:rsidTr="6EE14823">
        <w:trPr>
          <w:cantSplit/>
        </w:trPr>
        <w:tc>
          <w:tcPr>
            <w:tcW w:w="580" w:type="dxa"/>
          </w:tcPr>
          <w:p w14:paraId="279C55E7" w14:textId="2014FBC3" w:rsidR="00076739" w:rsidRPr="0041544A" w:rsidRDefault="59F65FDE">
            <w:pPr>
              <w:spacing w:line="276" w:lineRule="auto"/>
              <w:jc w:val="both"/>
              <w:rPr>
                <w:rFonts w:ascii="Calibri" w:eastAsia="Calibri" w:hAnsi="Calibri" w:cs="Calibri"/>
                <w:sz w:val="20"/>
                <w:szCs w:val="20"/>
              </w:rPr>
            </w:pPr>
            <w:r w:rsidRPr="30C7FF53">
              <w:rPr>
                <w:rFonts w:eastAsia="Calibri"/>
                <w:sz w:val="20"/>
                <w:szCs w:val="20"/>
              </w:rPr>
              <w:t>41</w:t>
            </w:r>
          </w:p>
        </w:tc>
        <w:tc>
          <w:tcPr>
            <w:tcW w:w="1665" w:type="dxa"/>
          </w:tcPr>
          <w:p w14:paraId="3398386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Habitat for Humanity of Gallatin Valley</w:t>
            </w:r>
          </w:p>
        </w:tc>
        <w:tc>
          <w:tcPr>
            <w:tcW w:w="1350" w:type="dxa"/>
          </w:tcPr>
          <w:p w14:paraId="71B8140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Services – Housing </w:t>
            </w:r>
          </w:p>
        </w:tc>
        <w:tc>
          <w:tcPr>
            <w:tcW w:w="4140" w:type="dxa"/>
          </w:tcPr>
          <w:p w14:paraId="3DE4C66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 Needs – Chronically Homeless; Homeless Needs – Families with Children; Homelessness Needs – Veterans; Homelessness Needs – Unaccompanied Youth; Homelessness Strategy; Non-Homeless Special Needs; HOPWA Strategy; Market Analysis; Lead-Based Paint Strategy; Anti-Poverty Strategy</w:t>
            </w:r>
          </w:p>
        </w:tc>
        <w:tc>
          <w:tcPr>
            <w:tcW w:w="1926" w:type="dxa"/>
          </w:tcPr>
          <w:p w14:paraId="0C9D2FD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2B6BCB20" w14:textId="77777777" w:rsidTr="6EE14823">
        <w:trPr>
          <w:cantSplit/>
        </w:trPr>
        <w:tc>
          <w:tcPr>
            <w:tcW w:w="580" w:type="dxa"/>
          </w:tcPr>
          <w:p w14:paraId="5A261AEA" w14:textId="300E7DBF" w:rsidR="00076739" w:rsidRPr="0041544A" w:rsidRDefault="00076739" w:rsidP="54FDEEE5">
            <w:pPr>
              <w:spacing w:line="276" w:lineRule="auto"/>
              <w:jc w:val="both"/>
              <w:rPr>
                <w:rFonts w:eastAsia="Calibri"/>
                <w:sz w:val="20"/>
                <w:szCs w:val="20"/>
              </w:rPr>
            </w:pPr>
            <w:r w:rsidRPr="30C7FF53">
              <w:rPr>
                <w:rFonts w:eastAsia="Calibri"/>
                <w:sz w:val="20"/>
                <w:szCs w:val="20"/>
              </w:rPr>
              <w:t>4</w:t>
            </w:r>
            <w:r w:rsidR="58CCA40E" w:rsidRPr="30C7FF53">
              <w:rPr>
                <w:rFonts w:eastAsia="Calibri"/>
                <w:sz w:val="20"/>
                <w:szCs w:val="20"/>
              </w:rPr>
              <w:t>2</w:t>
            </w:r>
          </w:p>
        </w:tc>
        <w:tc>
          <w:tcPr>
            <w:tcW w:w="1665" w:type="dxa"/>
          </w:tcPr>
          <w:p w14:paraId="02E360A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w:t>
            </w:r>
            <w:r>
              <w:rPr>
                <w:rFonts w:eastAsia="Calibri" w:cstheme="minorHAnsi"/>
                <w:sz w:val="20"/>
                <w:szCs w:val="20"/>
              </w:rPr>
              <w:t>AVEN</w:t>
            </w:r>
          </w:p>
        </w:tc>
        <w:tc>
          <w:tcPr>
            <w:tcW w:w="1350" w:type="dxa"/>
          </w:tcPr>
          <w:p w14:paraId="68005BE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Services – Victims of Domestic Violence</w:t>
            </w:r>
          </w:p>
        </w:tc>
        <w:tc>
          <w:tcPr>
            <w:tcW w:w="4140" w:type="dxa"/>
          </w:tcPr>
          <w:p w14:paraId="70D2C0A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 Needs – Families with Children; Homelessness Needs – Unaccompanied Youth; Homelessness Strategy; Non-Homeless Special Needs; Market Analysis; Anti-Poverty Strategy</w:t>
            </w:r>
          </w:p>
        </w:tc>
        <w:tc>
          <w:tcPr>
            <w:tcW w:w="1926" w:type="dxa"/>
          </w:tcPr>
          <w:p w14:paraId="6036A52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660EF5DA" w14:textId="77777777" w:rsidTr="6EE14823">
        <w:trPr>
          <w:cantSplit/>
        </w:trPr>
        <w:tc>
          <w:tcPr>
            <w:tcW w:w="580" w:type="dxa"/>
          </w:tcPr>
          <w:p w14:paraId="615C564D" w14:textId="4000900A" w:rsidR="00076739" w:rsidRPr="0041544A" w:rsidRDefault="000B7ECE" w:rsidP="54FDEEE5">
            <w:pPr>
              <w:spacing w:line="276" w:lineRule="auto"/>
              <w:jc w:val="both"/>
              <w:rPr>
                <w:rFonts w:eastAsia="Calibri"/>
                <w:sz w:val="20"/>
                <w:szCs w:val="20"/>
              </w:rPr>
            </w:pPr>
            <w:r w:rsidRPr="30C7FF53">
              <w:rPr>
                <w:rFonts w:eastAsia="Calibri"/>
                <w:sz w:val="20"/>
                <w:szCs w:val="20"/>
              </w:rPr>
              <w:t>4</w:t>
            </w:r>
            <w:r w:rsidR="68432974" w:rsidRPr="30C7FF53">
              <w:rPr>
                <w:rFonts w:eastAsia="Calibri"/>
                <w:sz w:val="20"/>
                <w:szCs w:val="20"/>
              </w:rPr>
              <w:t>3</w:t>
            </w:r>
          </w:p>
        </w:tc>
        <w:tc>
          <w:tcPr>
            <w:tcW w:w="1665" w:type="dxa"/>
          </w:tcPr>
          <w:p w14:paraId="2E67B35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Headwaters RC&amp;D</w:t>
            </w:r>
          </w:p>
        </w:tc>
        <w:tc>
          <w:tcPr>
            <w:tcW w:w="1350" w:type="dxa"/>
          </w:tcPr>
          <w:p w14:paraId="5B581BF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5E35F39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Non-Homeless Special Needs; Market Analysis; Economic Development; Lead-Based Paint Strategy; Anti-Poverty Strategy; Other – Infrastructure</w:t>
            </w:r>
          </w:p>
        </w:tc>
        <w:tc>
          <w:tcPr>
            <w:tcW w:w="1926" w:type="dxa"/>
          </w:tcPr>
          <w:p w14:paraId="56CF341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5C2F5475" w14:textId="77777777" w:rsidTr="6EE14823">
        <w:trPr>
          <w:cantSplit/>
        </w:trPr>
        <w:tc>
          <w:tcPr>
            <w:tcW w:w="580" w:type="dxa"/>
          </w:tcPr>
          <w:p w14:paraId="66FAAAAC" w14:textId="3DD3F838" w:rsidR="00076739" w:rsidRPr="0041544A" w:rsidRDefault="000B7ECE" w:rsidP="54FDEEE5">
            <w:pPr>
              <w:spacing w:line="276" w:lineRule="auto"/>
              <w:jc w:val="both"/>
              <w:rPr>
                <w:rFonts w:eastAsia="Calibri"/>
                <w:sz w:val="20"/>
                <w:szCs w:val="20"/>
              </w:rPr>
            </w:pPr>
            <w:r w:rsidRPr="30C7FF53">
              <w:rPr>
                <w:rFonts w:eastAsia="Calibri"/>
                <w:sz w:val="20"/>
                <w:szCs w:val="20"/>
              </w:rPr>
              <w:t>4</w:t>
            </w:r>
            <w:r w:rsidR="4B322260" w:rsidRPr="30C7FF53">
              <w:rPr>
                <w:rFonts w:eastAsia="Calibri"/>
                <w:sz w:val="20"/>
                <w:szCs w:val="20"/>
              </w:rPr>
              <w:t>4</w:t>
            </w:r>
          </w:p>
        </w:tc>
        <w:tc>
          <w:tcPr>
            <w:tcW w:w="1665" w:type="dxa"/>
          </w:tcPr>
          <w:p w14:paraId="397279B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Helena Housing Authority</w:t>
            </w:r>
          </w:p>
        </w:tc>
        <w:tc>
          <w:tcPr>
            <w:tcW w:w="1350" w:type="dxa"/>
          </w:tcPr>
          <w:p w14:paraId="77B3B37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43F914E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w:t>
            </w:r>
            <w:r>
              <w:rPr>
                <w:rFonts w:eastAsia="Calibri" w:cstheme="minorHAnsi"/>
                <w:sz w:val="20"/>
                <w:szCs w:val="20"/>
              </w:rPr>
              <w:t xml:space="preserve"> </w:t>
            </w:r>
            <w:r w:rsidRPr="0041544A">
              <w:rPr>
                <w:rFonts w:eastAsia="Calibri" w:cstheme="minorHAnsi"/>
                <w:sz w:val="20"/>
                <w:szCs w:val="20"/>
              </w:rPr>
              <w:t>Homelessness Strategy; HOPWA Strategy; Lead-Based Paint Strategy</w:t>
            </w:r>
          </w:p>
        </w:tc>
        <w:tc>
          <w:tcPr>
            <w:tcW w:w="1926" w:type="dxa"/>
          </w:tcPr>
          <w:p w14:paraId="45A4BE8F" w14:textId="214F68EE"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3614F89C" w14:textId="77777777" w:rsidTr="6EE14823">
        <w:trPr>
          <w:cantSplit/>
        </w:trPr>
        <w:tc>
          <w:tcPr>
            <w:tcW w:w="580" w:type="dxa"/>
          </w:tcPr>
          <w:p w14:paraId="1EC7E48C" w14:textId="6820CBB6" w:rsidR="00076739" w:rsidRPr="0041544A" w:rsidRDefault="000B7ECE" w:rsidP="54FDEEE5">
            <w:pPr>
              <w:spacing w:line="276" w:lineRule="auto"/>
              <w:jc w:val="both"/>
              <w:rPr>
                <w:rFonts w:eastAsia="Calibri"/>
                <w:sz w:val="20"/>
                <w:szCs w:val="20"/>
              </w:rPr>
            </w:pPr>
            <w:r w:rsidRPr="30C7FF53">
              <w:rPr>
                <w:rFonts w:eastAsia="Calibri"/>
                <w:sz w:val="20"/>
                <w:szCs w:val="20"/>
              </w:rPr>
              <w:lastRenderedPageBreak/>
              <w:t>4</w:t>
            </w:r>
            <w:r w:rsidR="01CFA5CF" w:rsidRPr="30C7FF53">
              <w:rPr>
                <w:rFonts w:eastAsia="Calibri"/>
                <w:sz w:val="20"/>
                <w:szCs w:val="20"/>
              </w:rPr>
              <w:t>5</w:t>
            </w:r>
          </w:p>
        </w:tc>
        <w:tc>
          <w:tcPr>
            <w:tcW w:w="1665" w:type="dxa"/>
          </w:tcPr>
          <w:p w14:paraId="759792BE" w14:textId="77777777" w:rsidR="00076739" w:rsidRPr="0041544A" w:rsidRDefault="00076739" w:rsidP="00076739">
            <w:pPr>
              <w:spacing w:line="276" w:lineRule="auto"/>
              <w:rPr>
                <w:rFonts w:eastAsia="Calibri" w:cstheme="minorHAnsi"/>
                <w:sz w:val="20"/>
                <w:szCs w:val="20"/>
              </w:rPr>
            </w:pPr>
            <w:proofErr w:type="spellStart"/>
            <w:r w:rsidRPr="0041544A">
              <w:rPr>
                <w:rFonts w:eastAsia="Calibri" w:cstheme="minorHAnsi"/>
                <w:sz w:val="20"/>
                <w:szCs w:val="20"/>
              </w:rPr>
              <w:t>Homeword</w:t>
            </w:r>
            <w:proofErr w:type="spellEnd"/>
          </w:p>
        </w:tc>
        <w:tc>
          <w:tcPr>
            <w:tcW w:w="1350" w:type="dxa"/>
          </w:tcPr>
          <w:p w14:paraId="52E5729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4769F68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4723738E" w14:textId="751A0546"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r w:rsidRPr="00BB3DE2">
              <w:rPr>
                <w:rFonts w:eastAsia="Calibri" w:cstheme="minorHAnsi"/>
                <w:sz w:val="20"/>
                <w:szCs w:val="20"/>
              </w:rPr>
              <w:t>participated as public repository</w:t>
            </w:r>
            <w:r w:rsidR="006D1AD3">
              <w:rPr>
                <w:rFonts w:eastAsia="Calibri" w:cstheme="minorHAnsi"/>
                <w:sz w:val="20"/>
                <w:szCs w:val="20"/>
              </w:rPr>
              <w:t>; attended public hearing</w:t>
            </w:r>
          </w:p>
        </w:tc>
      </w:tr>
      <w:tr w:rsidR="00637995" w:rsidRPr="0041544A" w14:paraId="66D96C40" w14:textId="77777777" w:rsidTr="6EE14823">
        <w:trPr>
          <w:cantSplit/>
        </w:trPr>
        <w:tc>
          <w:tcPr>
            <w:tcW w:w="580" w:type="dxa"/>
          </w:tcPr>
          <w:p w14:paraId="5D925355" w14:textId="4D26ED5B" w:rsidR="00076739" w:rsidRPr="0041544A" w:rsidRDefault="000B7ECE" w:rsidP="54FDEEE5">
            <w:pPr>
              <w:spacing w:line="276" w:lineRule="auto"/>
              <w:jc w:val="both"/>
              <w:rPr>
                <w:rFonts w:eastAsia="Calibri"/>
                <w:sz w:val="20"/>
                <w:szCs w:val="20"/>
              </w:rPr>
            </w:pPr>
            <w:r w:rsidRPr="30C7FF53">
              <w:rPr>
                <w:rFonts w:eastAsia="Calibri"/>
                <w:sz w:val="20"/>
                <w:szCs w:val="20"/>
              </w:rPr>
              <w:t>4</w:t>
            </w:r>
            <w:r w:rsidR="06C9E1E4" w:rsidRPr="30C7FF53">
              <w:rPr>
                <w:rFonts w:eastAsia="Calibri"/>
                <w:sz w:val="20"/>
                <w:szCs w:val="20"/>
              </w:rPr>
              <w:t>6</w:t>
            </w:r>
          </w:p>
        </w:tc>
        <w:tc>
          <w:tcPr>
            <w:tcW w:w="1665" w:type="dxa"/>
          </w:tcPr>
          <w:p w14:paraId="5193DBD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Hot Springs Community Association</w:t>
            </w:r>
          </w:p>
        </w:tc>
        <w:tc>
          <w:tcPr>
            <w:tcW w:w="1350" w:type="dxa"/>
          </w:tcPr>
          <w:p w14:paraId="30659987" w14:textId="359D36C8"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Civic leader</w:t>
            </w:r>
            <w:r w:rsidR="00C6536F">
              <w:rPr>
                <w:rFonts w:eastAsia="Calibri" w:cstheme="minorHAnsi"/>
                <w:sz w:val="20"/>
                <w:szCs w:val="20"/>
              </w:rPr>
              <w:t>s</w:t>
            </w:r>
          </w:p>
        </w:tc>
        <w:tc>
          <w:tcPr>
            <w:tcW w:w="4140" w:type="dxa"/>
          </w:tcPr>
          <w:p w14:paraId="44BFA26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Homelessness Strategy; Non-Homeless Special Needs; Anti-Poverty Strategy; Market Analysis; Economic Development; Other – Infrastructure </w:t>
            </w:r>
          </w:p>
        </w:tc>
        <w:tc>
          <w:tcPr>
            <w:tcW w:w="1926" w:type="dxa"/>
          </w:tcPr>
          <w:p w14:paraId="06C5A1B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4B3387C6" w14:textId="77777777" w:rsidTr="6EE14823">
        <w:trPr>
          <w:cantSplit/>
        </w:trPr>
        <w:tc>
          <w:tcPr>
            <w:tcW w:w="580" w:type="dxa"/>
          </w:tcPr>
          <w:p w14:paraId="3E1AC8BD" w14:textId="4C375920" w:rsidR="00076739" w:rsidRPr="0041544A" w:rsidRDefault="000B7ECE" w:rsidP="54FDEEE5">
            <w:pPr>
              <w:spacing w:line="276" w:lineRule="auto"/>
              <w:jc w:val="both"/>
              <w:rPr>
                <w:rFonts w:eastAsia="Calibri"/>
                <w:sz w:val="20"/>
                <w:szCs w:val="20"/>
              </w:rPr>
            </w:pPr>
            <w:r w:rsidRPr="30C7FF53">
              <w:rPr>
                <w:rFonts w:eastAsia="Calibri"/>
                <w:sz w:val="20"/>
                <w:szCs w:val="20"/>
              </w:rPr>
              <w:t>4</w:t>
            </w:r>
            <w:r w:rsidR="3EFB71EE" w:rsidRPr="30C7FF53">
              <w:rPr>
                <w:rFonts w:eastAsia="Calibri"/>
                <w:sz w:val="20"/>
                <w:szCs w:val="20"/>
              </w:rPr>
              <w:t>7</w:t>
            </w:r>
          </w:p>
        </w:tc>
        <w:tc>
          <w:tcPr>
            <w:tcW w:w="1665" w:type="dxa"/>
          </w:tcPr>
          <w:p w14:paraId="2493CD4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Solutions, LLC</w:t>
            </w:r>
          </w:p>
        </w:tc>
        <w:tc>
          <w:tcPr>
            <w:tcW w:w="1350" w:type="dxa"/>
          </w:tcPr>
          <w:p w14:paraId="5538109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Business leaders</w:t>
            </w:r>
          </w:p>
        </w:tc>
        <w:tc>
          <w:tcPr>
            <w:tcW w:w="4140" w:type="dxa"/>
          </w:tcPr>
          <w:p w14:paraId="62E12FD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Homelessness Strategy; Non-Homeless Special Needs; HOPWA Strategy; Market Analysis; Economic Development; Lead-Based Paint Strategy</w:t>
            </w:r>
          </w:p>
        </w:tc>
        <w:tc>
          <w:tcPr>
            <w:tcW w:w="1926" w:type="dxa"/>
          </w:tcPr>
          <w:p w14:paraId="73F64EA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711FE144" w14:textId="77777777" w:rsidTr="6EE14823">
        <w:trPr>
          <w:cantSplit/>
        </w:trPr>
        <w:tc>
          <w:tcPr>
            <w:tcW w:w="580" w:type="dxa"/>
          </w:tcPr>
          <w:p w14:paraId="12EC9890" w14:textId="5024A34D" w:rsidR="00076739" w:rsidRPr="0041544A" w:rsidRDefault="000B7ECE" w:rsidP="54FDEEE5">
            <w:pPr>
              <w:spacing w:line="276" w:lineRule="auto"/>
              <w:jc w:val="both"/>
              <w:rPr>
                <w:rFonts w:eastAsia="Calibri"/>
                <w:sz w:val="20"/>
                <w:szCs w:val="20"/>
              </w:rPr>
            </w:pPr>
            <w:r w:rsidRPr="30C7FF53">
              <w:rPr>
                <w:rFonts w:eastAsia="Calibri"/>
                <w:sz w:val="20"/>
                <w:szCs w:val="20"/>
              </w:rPr>
              <w:t>4</w:t>
            </w:r>
            <w:r w:rsidR="65C1E25B" w:rsidRPr="30C7FF53">
              <w:rPr>
                <w:rFonts w:eastAsia="Calibri"/>
                <w:sz w:val="20"/>
                <w:szCs w:val="20"/>
              </w:rPr>
              <w:t>8</w:t>
            </w:r>
          </w:p>
        </w:tc>
        <w:tc>
          <w:tcPr>
            <w:tcW w:w="1665" w:type="dxa"/>
          </w:tcPr>
          <w:p w14:paraId="19A599C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Human Resource Development Council (HRDC) District IX</w:t>
            </w:r>
            <w:r>
              <w:rPr>
                <w:rFonts w:eastAsia="Calibri" w:cstheme="minorHAnsi"/>
                <w:sz w:val="20"/>
                <w:szCs w:val="20"/>
              </w:rPr>
              <w:t xml:space="preserve"> in Bozeman</w:t>
            </w:r>
          </w:p>
        </w:tc>
        <w:tc>
          <w:tcPr>
            <w:tcW w:w="1350" w:type="dxa"/>
          </w:tcPr>
          <w:p w14:paraId="0109AD2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Regional </w:t>
            </w:r>
            <w:r>
              <w:rPr>
                <w:rFonts w:eastAsia="Calibri" w:cstheme="minorHAnsi"/>
                <w:sz w:val="20"/>
                <w:szCs w:val="20"/>
              </w:rPr>
              <w:t>Organization</w:t>
            </w:r>
            <w:r w:rsidRPr="0041544A">
              <w:rPr>
                <w:rFonts w:eastAsia="Calibri" w:cstheme="minorHAnsi"/>
                <w:sz w:val="20"/>
                <w:szCs w:val="20"/>
              </w:rPr>
              <w:t xml:space="preserve">; Services – Elderly Persons; Services – Children </w:t>
            </w:r>
          </w:p>
        </w:tc>
        <w:tc>
          <w:tcPr>
            <w:tcW w:w="4140" w:type="dxa"/>
          </w:tcPr>
          <w:p w14:paraId="6B458C8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Lead-Based Paint Strategy; Anti-Poverty Strategy</w:t>
            </w:r>
          </w:p>
        </w:tc>
        <w:tc>
          <w:tcPr>
            <w:tcW w:w="1926" w:type="dxa"/>
          </w:tcPr>
          <w:p w14:paraId="662D40E8" w14:textId="0C0133B6"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r w:rsidRPr="00DA2551">
              <w:rPr>
                <w:rFonts w:eastAsia="Calibri" w:cstheme="minorHAnsi"/>
                <w:sz w:val="20"/>
                <w:szCs w:val="20"/>
              </w:rPr>
              <w:t>participated as public repository</w:t>
            </w:r>
          </w:p>
        </w:tc>
      </w:tr>
      <w:tr w:rsidR="00637995" w:rsidRPr="0041544A" w14:paraId="0383A5EB" w14:textId="77777777" w:rsidTr="6EE14823">
        <w:trPr>
          <w:cantSplit/>
        </w:trPr>
        <w:tc>
          <w:tcPr>
            <w:tcW w:w="580" w:type="dxa"/>
          </w:tcPr>
          <w:p w14:paraId="5B392282" w14:textId="1E5B97D3" w:rsidR="00076739" w:rsidRPr="0041544A" w:rsidRDefault="000B7ECE" w:rsidP="54FDEEE5">
            <w:pPr>
              <w:spacing w:line="276" w:lineRule="auto"/>
              <w:jc w:val="both"/>
              <w:rPr>
                <w:rFonts w:eastAsia="Calibri"/>
                <w:sz w:val="20"/>
                <w:szCs w:val="20"/>
              </w:rPr>
            </w:pPr>
            <w:r w:rsidRPr="30C7FF53">
              <w:rPr>
                <w:rFonts w:eastAsia="Calibri"/>
                <w:sz w:val="20"/>
                <w:szCs w:val="20"/>
              </w:rPr>
              <w:t>4</w:t>
            </w:r>
            <w:r w:rsidR="325C06D7" w:rsidRPr="30C7FF53">
              <w:rPr>
                <w:rFonts w:eastAsia="Calibri"/>
                <w:sz w:val="20"/>
                <w:szCs w:val="20"/>
              </w:rPr>
              <w:t>9</w:t>
            </w:r>
          </w:p>
        </w:tc>
        <w:tc>
          <w:tcPr>
            <w:tcW w:w="1665" w:type="dxa"/>
          </w:tcPr>
          <w:p w14:paraId="39EDBBF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KLJ Engineering</w:t>
            </w:r>
          </w:p>
        </w:tc>
        <w:tc>
          <w:tcPr>
            <w:tcW w:w="1350" w:type="dxa"/>
          </w:tcPr>
          <w:p w14:paraId="70505A9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Business leaders</w:t>
            </w:r>
          </w:p>
        </w:tc>
        <w:tc>
          <w:tcPr>
            <w:tcW w:w="4140" w:type="dxa"/>
          </w:tcPr>
          <w:p w14:paraId="55B0B36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Non-Homeless Special Needs; Market Analysis; Economic Development; Other – Infrastructure </w:t>
            </w:r>
          </w:p>
        </w:tc>
        <w:tc>
          <w:tcPr>
            <w:tcW w:w="1926" w:type="dxa"/>
          </w:tcPr>
          <w:p w14:paraId="76DFD1E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7D8D5644" w14:textId="77777777" w:rsidTr="6EE14823">
        <w:trPr>
          <w:cantSplit/>
        </w:trPr>
        <w:tc>
          <w:tcPr>
            <w:tcW w:w="580" w:type="dxa"/>
          </w:tcPr>
          <w:p w14:paraId="6C80E18A" w14:textId="3BA1EF91" w:rsidR="00076739" w:rsidRPr="0041544A" w:rsidRDefault="6F42B66F" w:rsidP="54FDEEE5">
            <w:pPr>
              <w:spacing w:line="276" w:lineRule="auto"/>
              <w:jc w:val="both"/>
              <w:rPr>
                <w:rFonts w:eastAsia="Calibri"/>
                <w:sz w:val="20"/>
                <w:szCs w:val="20"/>
              </w:rPr>
            </w:pPr>
            <w:r w:rsidRPr="30C7FF53">
              <w:rPr>
                <w:rFonts w:eastAsia="Calibri"/>
                <w:sz w:val="20"/>
                <w:szCs w:val="20"/>
              </w:rPr>
              <w:t>50</w:t>
            </w:r>
          </w:p>
        </w:tc>
        <w:tc>
          <w:tcPr>
            <w:tcW w:w="1665" w:type="dxa"/>
          </w:tcPr>
          <w:p w14:paraId="27595BA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Lake County Community Development</w:t>
            </w:r>
            <w:r>
              <w:rPr>
                <w:rFonts w:eastAsia="Calibri" w:cstheme="minorHAnsi"/>
                <w:sz w:val="20"/>
                <w:szCs w:val="20"/>
              </w:rPr>
              <w:t xml:space="preserve"> Corporation</w:t>
            </w:r>
          </w:p>
        </w:tc>
        <w:tc>
          <w:tcPr>
            <w:tcW w:w="1350" w:type="dxa"/>
          </w:tcPr>
          <w:p w14:paraId="2A1ECF1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7AFB9DF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21E8DDAF" w14:textId="25298C22"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34B075B7" w14:textId="77777777" w:rsidTr="6EE14823">
        <w:trPr>
          <w:cantSplit/>
        </w:trPr>
        <w:tc>
          <w:tcPr>
            <w:tcW w:w="580" w:type="dxa"/>
          </w:tcPr>
          <w:p w14:paraId="32336AC9" w14:textId="7FE96E3A" w:rsidR="00076739" w:rsidRPr="0041544A" w:rsidRDefault="485FC290" w:rsidP="54FDEEE5">
            <w:pPr>
              <w:spacing w:line="276" w:lineRule="auto"/>
              <w:jc w:val="both"/>
              <w:rPr>
                <w:rFonts w:eastAsia="Calibri"/>
                <w:sz w:val="20"/>
                <w:szCs w:val="20"/>
              </w:rPr>
            </w:pPr>
            <w:r w:rsidRPr="30C7FF53">
              <w:rPr>
                <w:rFonts w:eastAsia="Calibri"/>
                <w:sz w:val="20"/>
                <w:szCs w:val="20"/>
              </w:rPr>
              <w:t>51</w:t>
            </w:r>
          </w:p>
        </w:tc>
        <w:tc>
          <w:tcPr>
            <w:tcW w:w="1665" w:type="dxa"/>
          </w:tcPr>
          <w:p w14:paraId="7994731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Land Solutions, </w:t>
            </w:r>
            <w:r>
              <w:rPr>
                <w:rFonts w:eastAsia="Calibri" w:cstheme="minorHAnsi"/>
                <w:sz w:val="20"/>
                <w:szCs w:val="20"/>
              </w:rPr>
              <w:t>LLC</w:t>
            </w:r>
          </w:p>
        </w:tc>
        <w:tc>
          <w:tcPr>
            <w:tcW w:w="1350" w:type="dxa"/>
          </w:tcPr>
          <w:p w14:paraId="4F0F290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Business leaders</w:t>
            </w:r>
          </w:p>
        </w:tc>
        <w:tc>
          <w:tcPr>
            <w:tcW w:w="4140" w:type="dxa"/>
          </w:tcPr>
          <w:p w14:paraId="13A66B2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Non-Homeless Special Needs; Market Analysis; Economic Development; Other – Infrastructure </w:t>
            </w:r>
          </w:p>
        </w:tc>
        <w:tc>
          <w:tcPr>
            <w:tcW w:w="1926" w:type="dxa"/>
          </w:tcPr>
          <w:p w14:paraId="7268AC8C" w14:textId="45F1C4F9"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6E0C68EF" w14:textId="77777777" w:rsidTr="6EE14823">
        <w:trPr>
          <w:cantSplit/>
        </w:trPr>
        <w:tc>
          <w:tcPr>
            <w:tcW w:w="580" w:type="dxa"/>
          </w:tcPr>
          <w:p w14:paraId="70A0B4E2" w14:textId="60B0FD61" w:rsidR="00076739" w:rsidRDefault="000B7ECE" w:rsidP="54FDEEE5">
            <w:pPr>
              <w:spacing w:line="276" w:lineRule="auto"/>
              <w:jc w:val="both"/>
              <w:rPr>
                <w:rFonts w:eastAsia="Calibri"/>
                <w:sz w:val="20"/>
                <w:szCs w:val="20"/>
              </w:rPr>
            </w:pPr>
            <w:r w:rsidRPr="30C7FF53">
              <w:rPr>
                <w:rFonts w:eastAsia="Calibri"/>
                <w:sz w:val="20"/>
                <w:szCs w:val="20"/>
              </w:rPr>
              <w:lastRenderedPageBreak/>
              <w:t>5</w:t>
            </w:r>
            <w:r w:rsidR="746C345B" w:rsidRPr="30C7FF53">
              <w:rPr>
                <w:rFonts w:eastAsia="Calibri"/>
                <w:sz w:val="20"/>
                <w:szCs w:val="20"/>
              </w:rPr>
              <w:t>2</w:t>
            </w:r>
          </w:p>
        </w:tc>
        <w:tc>
          <w:tcPr>
            <w:tcW w:w="1665" w:type="dxa"/>
          </w:tcPr>
          <w:p w14:paraId="60484646" w14:textId="77777777" w:rsidR="00076739" w:rsidRPr="0041544A" w:rsidRDefault="00076739" w:rsidP="00076739">
            <w:pPr>
              <w:spacing w:line="276" w:lineRule="auto"/>
              <w:rPr>
                <w:rFonts w:eastAsia="Calibri" w:cstheme="minorHAnsi"/>
                <w:sz w:val="20"/>
                <w:szCs w:val="20"/>
              </w:rPr>
            </w:pPr>
            <w:r w:rsidRPr="00A54EB8">
              <w:rPr>
                <w:rFonts w:eastAsia="Calibri" w:cstheme="minorHAnsi"/>
                <w:sz w:val="20"/>
                <w:szCs w:val="20"/>
              </w:rPr>
              <w:t>Lewis &amp; Clark County</w:t>
            </w:r>
          </w:p>
        </w:tc>
        <w:tc>
          <w:tcPr>
            <w:tcW w:w="1350" w:type="dxa"/>
          </w:tcPr>
          <w:p w14:paraId="4FBCD527" w14:textId="77777777" w:rsidR="00076739" w:rsidRPr="0041544A" w:rsidRDefault="00076739" w:rsidP="00076739">
            <w:pPr>
              <w:spacing w:line="276" w:lineRule="auto"/>
              <w:rPr>
                <w:rFonts w:eastAsia="Calibri" w:cstheme="minorHAnsi"/>
                <w:sz w:val="20"/>
                <w:szCs w:val="20"/>
              </w:rPr>
            </w:pPr>
            <w:r>
              <w:rPr>
                <w:rFonts w:eastAsia="Calibri" w:cstheme="minorHAnsi"/>
                <w:sz w:val="20"/>
                <w:szCs w:val="20"/>
              </w:rPr>
              <w:t>County</w:t>
            </w:r>
          </w:p>
        </w:tc>
        <w:tc>
          <w:tcPr>
            <w:tcW w:w="4140" w:type="dxa"/>
          </w:tcPr>
          <w:p w14:paraId="1A4A1E53" w14:textId="77777777" w:rsidR="00076739" w:rsidRPr="0041544A" w:rsidRDefault="00076739" w:rsidP="00076739">
            <w:pPr>
              <w:spacing w:line="276" w:lineRule="auto"/>
              <w:rPr>
                <w:rFonts w:eastAsia="Calibri" w:cstheme="minorHAnsi"/>
                <w:sz w:val="20"/>
                <w:szCs w:val="20"/>
              </w:rPr>
            </w:pPr>
            <w:r w:rsidRPr="001C18DF">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w:t>
            </w:r>
          </w:p>
        </w:tc>
        <w:tc>
          <w:tcPr>
            <w:tcW w:w="1926" w:type="dxa"/>
          </w:tcPr>
          <w:p w14:paraId="287A11DF" w14:textId="671E6F61"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79D86295" w14:textId="77777777" w:rsidTr="6EE14823">
        <w:trPr>
          <w:cantSplit/>
        </w:trPr>
        <w:tc>
          <w:tcPr>
            <w:tcW w:w="580" w:type="dxa"/>
          </w:tcPr>
          <w:p w14:paraId="6D227941" w14:textId="0258629A" w:rsidR="00076739" w:rsidRPr="0041544A" w:rsidRDefault="000B7ECE" w:rsidP="54FDEEE5">
            <w:pPr>
              <w:spacing w:line="276" w:lineRule="auto"/>
              <w:jc w:val="both"/>
              <w:rPr>
                <w:rFonts w:eastAsia="Calibri"/>
                <w:sz w:val="20"/>
                <w:szCs w:val="20"/>
              </w:rPr>
            </w:pPr>
            <w:r w:rsidRPr="30C7FF53">
              <w:rPr>
                <w:rFonts w:eastAsia="Calibri"/>
                <w:sz w:val="20"/>
                <w:szCs w:val="20"/>
              </w:rPr>
              <w:t>5</w:t>
            </w:r>
            <w:r w:rsidR="1A3A95EF" w:rsidRPr="30C7FF53">
              <w:rPr>
                <w:rFonts w:eastAsia="Calibri"/>
                <w:sz w:val="20"/>
                <w:szCs w:val="20"/>
              </w:rPr>
              <w:t>3</w:t>
            </w:r>
          </w:p>
        </w:tc>
        <w:tc>
          <w:tcPr>
            <w:tcW w:w="1665" w:type="dxa"/>
          </w:tcPr>
          <w:p w14:paraId="5E92AA1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Living Independently for Today and Tomorrow (LIFTT)</w:t>
            </w:r>
          </w:p>
        </w:tc>
        <w:tc>
          <w:tcPr>
            <w:tcW w:w="1350" w:type="dxa"/>
          </w:tcPr>
          <w:p w14:paraId="3B955CAD" w14:textId="6FB384AA"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Regional </w:t>
            </w:r>
            <w:proofErr w:type="gramStart"/>
            <w:r w:rsidRPr="0041544A">
              <w:rPr>
                <w:rFonts w:eastAsia="Calibri" w:cstheme="minorHAnsi"/>
                <w:sz w:val="20"/>
                <w:szCs w:val="20"/>
              </w:rPr>
              <w:t>organization</w:t>
            </w:r>
            <w:r w:rsidR="001A6F6D">
              <w:rPr>
                <w:rFonts w:eastAsia="Calibri" w:cstheme="minorHAnsi"/>
                <w:sz w:val="20"/>
                <w:szCs w:val="20"/>
              </w:rPr>
              <w:t>;</w:t>
            </w:r>
            <w:proofErr w:type="gramEnd"/>
          </w:p>
          <w:p w14:paraId="6C11248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Services – Persons with Disabilities</w:t>
            </w:r>
          </w:p>
        </w:tc>
        <w:tc>
          <w:tcPr>
            <w:tcW w:w="4140" w:type="dxa"/>
          </w:tcPr>
          <w:p w14:paraId="68B3140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w:t>
            </w:r>
          </w:p>
        </w:tc>
        <w:tc>
          <w:tcPr>
            <w:tcW w:w="1926" w:type="dxa"/>
          </w:tcPr>
          <w:p w14:paraId="39151BC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r w:rsidRPr="00864B41">
              <w:rPr>
                <w:rFonts w:eastAsia="Calibri" w:cstheme="minorHAnsi"/>
                <w:sz w:val="20"/>
                <w:szCs w:val="20"/>
              </w:rPr>
              <w:t>participated as public repository</w:t>
            </w:r>
          </w:p>
        </w:tc>
      </w:tr>
      <w:tr w:rsidR="00637995" w:rsidRPr="0041544A" w14:paraId="65E932FF" w14:textId="77777777" w:rsidTr="6EE14823">
        <w:trPr>
          <w:cantSplit/>
        </w:trPr>
        <w:tc>
          <w:tcPr>
            <w:tcW w:w="580" w:type="dxa"/>
          </w:tcPr>
          <w:p w14:paraId="7D4AE988" w14:textId="543C6D1B" w:rsidR="00076739" w:rsidRPr="0041544A" w:rsidRDefault="000B7ECE" w:rsidP="54FDEEE5">
            <w:pPr>
              <w:spacing w:line="276" w:lineRule="auto"/>
              <w:jc w:val="both"/>
              <w:rPr>
                <w:rFonts w:eastAsia="Calibri"/>
                <w:sz w:val="20"/>
                <w:szCs w:val="20"/>
              </w:rPr>
            </w:pPr>
            <w:r w:rsidRPr="30C7FF53">
              <w:rPr>
                <w:rFonts w:eastAsia="Calibri"/>
                <w:sz w:val="20"/>
                <w:szCs w:val="20"/>
              </w:rPr>
              <w:t>5</w:t>
            </w:r>
            <w:r w:rsidR="1F1DBD3B" w:rsidRPr="30C7FF53">
              <w:rPr>
                <w:rFonts w:eastAsia="Calibri"/>
                <w:sz w:val="20"/>
                <w:szCs w:val="20"/>
              </w:rPr>
              <w:t>4</w:t>
            </w:r>
          </w:p>
        </w:tc>
        <w:tc>
          <w:tcPr>
            <w:tcW w:w="1665" w:type="dxa"/>
          </w:tcPr>
          <w:p w14:paraId="3DEE0CE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Livingston Food Pantry</w:t>
            </w:r>
          </w:p>
        </w:tc>
        <w:tc>
          <w:tcPr>
            <w:tcW w:w="1350" w:type="dxa"/>
          </w:tcPr>
          <w:p w14:paraId="7071D58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Other – Food Bank</w:t>
            </w:r>
          </w:p>
        </w:tc>
        <w:tc>
          <w:tcPr>
            <w:tcW w:w="4140" w:type="dxa"/>
          </w:tcPr>
          <w:p w14:paraId="5A1A880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 Needs – Chronically Homeless; Homeless Needs – Families with Children; Homelessness Needs – Veterans; Homelessness Needs – Unaccompanied Youth; Homelessness Strategy; Non-Homeless Special Needs; HOPWA Strategy; Anti-Poverty Strategy</w:t>
            </w:r>
          </w:p>
        </w:tc>
        <w:tc>
          <w:tcPr>
            <w:tcW w:w="1926" w:type="dxa"/>
          </w:tcPr>
          <w:p w14:paraId="46E1F7B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30A925E2" w14:textId="77777777" w:rsidTr="6EE14823">
        <w:trPr>
          <w:cantSplit/>
        </w:trPr>
        <w:tc>
          <w:tcPr>
            <w:tcW w:w="580" w:type="dxa"/>
          </w:tcPr>
          <w:p w14:paraId="3E5642B8" w14:textId="50853BC1" w:rsidR="00076739" w:rsidRPr="0041544A" w:rsidRDefault="000B7ECE" w:rsidP="54FDEEE5">
            <w:pPr>
              <w:spacing w:line="276" w:lineRule="auto"/>
              <w:jc w:val="both"/>
              <w:rPr>
                <w:rFonts w:eastAsia="Calibri"/>
                <w:sz w:val="20"/>
                <w:szCs w:val="20"/>
              </w:rPr>
            </w:pPr>
            <w:r w:rsidRPr="30C7FF53">
              <w:rPr>
                <w:rFonts w:eastAsia="Calibri"/>
                <w:sz w:val="20"/>
                <w:szCs w:val="20"/>
              </w:rPr>
              <w:t>5</w:t>
            </w:r>
            <w:r w:rsidR="191BC7E8" w:rsidRPr="30C7FF53">
              <w:rPr>
                <w:rFonts w:eastAsia="Calibri"/>
                <w:sz w:val="20"/>
                <w:szCs w:val="20"/>
              </w:rPr>
              <w:t>5</w:t>
            </w:r>
          </w:p>
        </w:tc>
        <w:tc>
          <w:tcPr>
            <w:tcW w:w="1665" w:type="dxa"/>
          </w:tcPr>
          <w:p w14:paraId="0E4A5DC5"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Local Initiatives Support Corporation (LISC)</w:t>
            </w:r>
          </w:p>
        </w:tc>
        <w:tc>
          <w:tcPr>
            <w:tcW w:w="1350" w:type="dxa"/>
          </w:tcPr>
          <w:p w14:paraId="55FC08A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40E4264A" w14:textId="77777777" w:rsidR="00076739"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p w14:paraId="0B9DACE4" w14:textId="77777777" w:rsidR="00076739" w:rsidRDefault="00076739" w:rsidP="00076739">
            <w:pPr>
              <w:spacing w:line="276" w:lineRule="auto"/>
              <w:rPr>
                <w:rFonts w:eastAsia="Calibri" w:cstheme="minorHAnsi"/>
                <w:sz w:val="20"/>
                <w:szCs w:val="20"/>
              </w:rPr>
            </w:pPr>
          </w:p>
          <w:p w14:paraId="3AFE6FA9" w14:textId="77777777" w:rsidR="00076739" w:rsidRDefault="00076739" w:rsidP="00076739">
            <w:pPr>
              <w:spacing w:line="276" w:lineRule="auto"/>
              <w:rPr>
                <w:rFonts w:eastAsia="Calibri" w:cstheme="minorHAnsi"/>
                <w:sz w:val="20"/>
                <w:szCs w:val="20"/>
              </w:rPr>
            </w:pPr>
          </w:p>
          <w:p w14:paraId="4E0E6F26" w14:textId="77777777" w:rsidR="00076739" w:rsidRDefault="00076739" w:rsidP="00076739">
            <w:pPr>
              <w:spacing w:line="276" w:lineRule="auto"/>
              <w:rPr>
                <w:rFonts w:eastAsia="Calibri" w:cstheme="minorHAnsi"/>
                <w:sz w:val="20"/>
                <w:szCs w:val="20"/>
              </w:rPr>
            </w:pPr>
          </w:p>
          <w:p w14:paraId="1ACAECF5" w14:textId="77777777" w:rsidR="00076739" w:rsidRDefault="00076739" w:rsidP="00076739">
            <w:pPr>
              <w:spacing w:line="276" w:lineRule="auto"/>
              <w:rPr>
                <w:rFonts w:eastAsia="Calibri" w:cstheme="minorHAnsi"/>
                <w:sz w:val="20"/>
                <w:szCs w:val="20"/>
              </w:rPr>
            </w:pPr>
          </w:p>
          <w:p w14:paraId="75F138E9" w14:textId="77777777" w:rsidR="00076739" w:rsidRDefault="00076739" w:rsidP="00076739">
            <w:pPr>
              <w:spacing w:line="276" w:lineRule="auto"/>
              <w:rPr>
                <w:rFonts w:eastAsia="Calibri" w:cstheme="minorHAnsi"/>
                <w:sz w:val="20"/>
                <w:szCs w:val="20"/>
              </w:rPr>
            </w:pPr>
          </w:p>
          <w:p w14:paraId="42212E8B" w14:textId="77777777" w:rsidR="00076739" w:rsidRPr="0041544A" w:rsidRDefault="00076739" w:rsidP="00076739">
            <w:pPr>
              <w:spacing w:line="276" w:lineRule="auto"/>
              <w:rPr>
                <w:rFonts w:eastAsia="Calibri" w:cstheme="minorHAnsi"/>
                <w:sz w:val="20"/>
                <w:szCs w:val="20"/>
              </w:rPr>
            </w:pPr>
          </w:p>
        </w:tc>
        <w:tc>
          <w:tcPr>
            <w:tcW w:w="1926" w:type="dxa"/>
          </w:tcPr>
          <w:p w14:paraId="0E03538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157272CD" w14:textId="77777777" w:rsidTr="6EE14823">
        <w:trPr>
          <w:cantSplit/>
        </w:trPr>
        <w:tc>
          <w:tcPr>
            <w:tcW w:w="580" w:type="dxa"/>
          </w:tcPr>
          <w:p w14:paraId="641F2AE3" w14:textId="5844F95E" w:rsidR="00076739" w:rsidRPr="0041544A" w:rsidRDefault="000B7ECE" w:rsidP="54FDEEE5">
            <w:pPr>
              <w:spacing w:line="276" w:lineRule="auto"/>
              <w:jc w:val="both"/>
              <w:rPr>
                <w:rFonts w:eastAsia="Calibri"/>
                <w:sz w:val="20"/>
                <w:szCs w:val="20"/>
              </w:rPr>
            </w:pPr>
            <w:r w:rsidRPr="30C7FF53">
              <w:rPr>
                <w:rFonts w:eastAsia="Calibri"/>
                <w:sz w:val="20"/>
                <w:szCs w:val="20"/>
              </w:rPr>
              <w:lastRenderedPageBreak/>
              <w:t>5</w:t>
            </w:r>
            <w:r w:rsidR="69BD60EF" w:rsidRPr="30C7FF53">
              <w:rPr>
                <w:rFonts w:eastAsia="Calibri"/>
                <w:sz w:val="20"/>
                <w:szCs w:val="20"/>
              </w:rPr>
              <w:t>6</w:t>
            </w:r>
          </w:p>
        </w:tc>
        <w:tc>
          <w:tcPr>
            <w:tcW w:w="1665" w:type="dxa"/>
          </w:tcPr>
          <w:p w14:paraId="1ABD33D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Madison County</w:t>
            </w:r>
          </w:p>
        </w:tc>
        <w:tc>
          <w:tcPr>
            <w:tcW w:w="1350" w:type="dxa"/>
          </w:tcPr>
          <w:p w14:paraId="677B604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County</w:t>
            </w:r>
          </w:p>
          <w:p w14:paraId="03287595" w14:textId="77777777" w:rsidR="00076739" w:rsidRPr="0041544A" w:rsidRDefault="00076739" w:rsidP="00076739">
            <w:pPr>
              <w:spacing w:line="276" w:lineRule="auto"/>
              <w:rPr>
                <w:rFonts w:eastAsia="Calibri" w:cstheme="minorHAnsi"/>
                <w:sz w:val="20"/>
                <w:szCs w:val="20"/>
              </w:rPr>
            </w:pPr>
          </w:p>
        </w:tc>
        <w:tc>
          <w:tcPr>
            <w:tcW w:w="4140" w:type="dxa"/>
          </w:tcPr>
          <w:p w14:paraId="4233920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4F76A3B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42068AC9" w14:textId="77777777" w:rsidTr="6EE14823">
        <w:trPr>
          <w:cantSplit/>
        </w:trPr>
        <w:tc>
          <w:tcPr>
            <w:tcW w:w="580" w:type="dxa"/>
          </w:tcPr>
          <w:p w14:paraId="1A4813A8" w14:textId="7665B60C" w:rsidR="00076739" w:rsidRPr="0041544A" w:rsidRDefault="000B7ECE" w:rsidP="54FDEEE5">
            <w:pPr>
              <w:spacing w:line="276" w:lineRule="auto"/>
              <w:jc w:val="both"/>
              <w:rPr>
                <w:rFonts w:eastAsia="Calibri"/>
                <w:sz w:val="20"/>
                <w:szCs w:val="20"/>
              </w:rPr>
            </w:pPr>
            <w:r w:rsidRPr="30C7FF53">
              <w:rPr>
                <w:rFonts w:eastAsia="Calibri"/>
                <w:sz w:val="20"/>
                <w:szCs w:val="20"/>
              </w:rPr>
              <w:t>5</w:t>
            </w:r>
            <w:r w:rsidR="55335549" w:rsidRPr="30C7FF53">
              <w:rPr>
                <w:rFonts w:eastAsia="Calibri"/>
                <w:sz w:val="20"/>
                <w:szCs w:val="20"/>
              </w:rPr>
              <w:t>7</w:t>
            </w:r>
          </w:p>
        </w:tc>
        <w:tc>
          <w:tcPr>
            <w:tcW w:w="1665" w:type="dxa"/>
          </w:tcPr>
          <w:p w14:paraId="5A26D61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Midwest Assistance Program</w:t>
            </w:r>
          </w:p>
        </w:tc>
        <w:tc>
          <w:tcPr>
            <w:tcW w:w="1350" w:type="dxa"/>
          </w:tcPr>
          <w:p w14:paraId="1EF11EA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2332D4A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Market Analysis; Economic Development; Anti-Poverty Strategy; Other – Infrastructure </w:t>
            </w:r>
          </w:p>
        </w:tc>
        <w:tc>
          <w:tcPr>
            <w:tcW w:w="1926" w:type="dxa"/>
          </w:tcPr>
          <w:p w14:paraId="7013C8A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699BEFB7" w14:textId="77777777" w:rsidTr="6EE14823">
        <w:trPr>
          <w:cantSplit/>
        </w:trPr>
        <w:tc>
          <w:tcPr>
            <w:tcW w:w="580" w:type="dxa"/>
          </w:tcPr>
          <w:p w14:paraId="360BB085" w14:textId="568A7A25" w:rsidR="00076739" w:rsidRPr="0041544A" w:rsidRDefault="000B7ECE" w:rsidP="54FDEEE5">
            <w:pPr>
              <w:spacing w:line="276" w:lineRule="auto"/>
              <w:jc w:val="both"/>
              <w:rPr>
                <w:rFonts w:eastAsia="Calibri"/>
                <w:sz w:val="20"/>
                <w:szCs w:val="20"/>
              </w:rPr>
            </w:pPr>
            <w:r w:rsidRPr="30C7FF53">
              <w:rPr>
                <w:rFonts w:eastAsia="Calibri"/>
                <w:sz w:val="20"/>
                <w:szCs w:val="20"/>
              </w:rPr>
              <w:t>5</w:t>
            </w:r>
            <w:r w:rsidR="0D99E884" w:rsidRPr="30C7FF53">
              <w:rPr>
                <w:rFonts w:eastAsia="Calibri"/>
                <w:sz w:val="20"/>
                <w:szCs w:val="20"/>
              </w:rPr>
              <w:t>8</w:t>
            </w:r>
          </w:p>
        </w:tc>
        <w:tc>
          <w:tcPr>
            <w:tcW w:w="1665" w:type="dxa"/>
          </w:tcPr>
          <w:p w14:paraId="797FB08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Miles City Public Housing Authority</w:t>
            </w:r>
            <w:r>
              <w:rPr>
                <w:rFonts w:eastAsia="Calibri" w:cstheme="minorHAnsi"/>
                <w:sz w:val="20"/>
                <w:szCs w:val="20"/>
              </w:rPr>
              <w:t xml:space="preserve"> (PHA)</w:t>
            </w:r>
          </w:p>
        </w:tc>
        <w:tc>
          <w:tcPr>
            <w:tcW w:w="1350" w:type="dxa"/>
          </w:tcPr>
          <w:p w14:paraId="32A37565"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43DB7B6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HOPWA Strategy; Lead-Based Paint Strategy</w:t>
            </w:r>
          </w:p>
        </w:tc>
        <w:tc>
          <w:tcPr>
            <w:tcW w:w="1926" w:type="dxa"/>
          </w:tcPr>
          <w:p w14:paraId="561B1FB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46E1DEB1" w14:textId="77777777" w:rsidTr="6EE14823">
        <w:trPr>
          <w:cantSplit/>
        </w:trPr>
        <w:tc>
          <w:tcPr>
            <w:tcW w:w="580" w:type="dxa"/>
          </w:tcPr>
          <w:p w14:paraId="6377F4AA" w14:textId="3B2C2630" w:rsidR="006D1AD3" w:rsidRDefault="02C2E44E" w:rsidP="54FDEEE5">
            <w:pPr>
              <w:spacing w:line="276" w:lineRule="auto"/>
              <w:jc w:val="both"/>
              <w:rPr>
                <w:rFonts w:eastAsia="Calibri"/>
                <w:sz w:val="20"/>
                <w:szCs w:val="20"/>
              </w:rPr>
            </w:pPr>
            <w:r w:rsidRPr="30C7FF53">
              <w:rPr>
                <w:rFonts w:eastAsia="Calibri"/>
                <w:sz w:val="20"/>
                <w:szCs w:val="20"/>
              </w:rPr>
              <w:t>5</w:t>
            </w:r>
            <w:r w:rsidR="7873192E" w:rsidRPr="30C7FF53">
              <w:rPr>
                <w:rFonts w:eastAsia="Calibri"/>
                <w:sz w:val="20"/>
                <w:szCs w:val="20"/>
              </w:rPr>
              <w:t>9</w:t>
            </w:r>
          </w:p>
        </w:tc>
        <w:tc>
          <w:tcPr>
            <w:tcW w:w="1665" w:type="dxa"/>
          </w:tcPr>
          <w:p w14:paraId="0BF2174C" w14:textId="5F9B2AE8" w:rsidR="006D1AD3" w:rsidRPr="0041544A" w:rsidRDefault="006D1AD3" w:rsidP="00076739">
            <w:pPr>
              <w:spacing w:line="276" w:lineRule="auto"/>
              <w:rPr>
                <w:rFonts w:eastAsia="Calibri" w:cstheme="minorHAnsi"/>
                <w:sz w:val="20"/>
                <w:szCs w:val="20"/>
              </w:rPr>
            </w:pPr>
            <w:r>
              <w:rPr>
                <w:rFonts w:eastAsia="Calibri" w:cstheme="minorHAnsi"/>
                <w:sz w:val="20"/>
                <w:szCs w:val="20"/>
              </w:rPr>
              <w:t>Missoula County</w:t>
            </w:r>
          </w:p>
        </w:tc>
        <w:tc>
          <w:tcPr>
            <w:tcW w:w="1350" w:type="dxa"/>
          </w:tcPr>
          <w:p w14:paraId="6174638C" w14:textId="3ABA11F8" w:rsidR="006D1AD3" w:rsidRPr="0041544A" w:rsidRDefault="006D1AD3" w:rsidP="00076739">
            <w:pPr>
              <w:spacing w:line="276" w:lineRule="auto"/>
              <w:rPr>
                <w:rFonts w:eastAsia="Calibri" w:cstheme="minorHAnsi"/>
                <w:sz w:val="20"/>
                <w:szCs w:val="20"/>
              </w:rPr>
            </w:pPr>
            <w:r>
              <w:rPr>
                <w:rFonts w:eastAsia="Calibri" w:cstheme="minorHAnsi"/>
                <w:sz w:val="20"/>
                <w:szCs w:val="20"/>
              </w:rPr>
              <w:t>County</w:t>
            </w:r>
          </w:p>
        </w:tc>
        <w:tc>
          <w:tcPr>
            <w:tcW w:w="4140" w:type="dxa"/>
          </w:tcPr>
          <w:p w14:paraId="491BE0C1" w14:textId="19E494D3" w:rsidR="006D1AD3" w:rsidRPr="0041544A" w:rsidRDefault="73A9434F" w:rsidP="08FFD6A1">
            <w:pPr>
              <w:spacing w:line="276" w:lineRule="auto"/>
              <w:rPr>
                <w:rFonts w:eastAsia="Calibri"/>
                <w:sz w:val="20"/>
                <w:szCs w:val="20"/>
              </w:rPr>
            </w:pPr>
            <w:r w:rsidRPr="6EE14823">
              <w:rPr>
                <w:rFonts w:eastAsia="Calibr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w:t>
            </w:r>
          </w:p>
        </w:tc>
        <w:tc>
          <w:tcPr>
            <w:tcW w:w="1926" w:type="dxa"/>
          </w:tcPr>
          <w:p w14:paraId="4D8A1F5C" w14:textId="60CD1F10" w:rsidR="006D1AD3" w:rsidRPr="0041544A" w:rsidRDefault="006D1AD3" w:rsidP="00076739">
            <w:pPr>
              <w:spacing w:line="276" w:lineRule="auto"/>
              <w:rPr>
                <w:rFonts w:eastAsia="Calibri" w:cstheme="minorHAnsi"/>
                <w:sz w:val="20"/>
                <w:szCs w:val="20"/>
              </w:rPr>
            </w:pPr>
            <w:r w:rsidRPr="0041544A">
              <w:rPr>
                <w:rFonts w:eastAsia="Calibri" w:cstheme="minorHAnsi"/>
                <w:sz w:val="20"/>
                <w:szCs w:val="20"/>
              </w:rPr>
              <w:t>Included on email listserv</w:t>
            </w:r>
            <w:r>
              <w:rPr>
                <w:rFonts w:eastAsia="Calibri" w:cstheme="minorHAnsi"/>
                <w:sz w:val="20"/>
                <w:szCs w:val="20"/>
              </w:rPr>
              <w:t>, attended public hearing</w:t>
            </w:r>
          </w:p>
        </w:tc>
      </w:tr>
      <w:tr w:rsidR="00637995" w:rsidRPr="0041544A" w14:paraId="01261F1C" w14:textId="77777777" w:rsidTr="6EE14823">
        <w:trPr>
          <w:cantSplit/>
        </w:trPr>
        <w:tc>
          <w:tcPr>
            <w:tcW w:w="580" w:type="dxa"/>
          </w:tcPr>
          <w:p w14:paraId="09A102D9" w14:textId="6CA83308" w:rsidR="00076739" w:rsidRPr="0041544A" w:rsidRDefault="0ACFDC37">
            <w:pPr>
              <w:spacing w:line="276" w:lineRule="auto"/>
              <w:jc w:val="both"/>
              <w:rPr>
                <w:rFonts w:ascii="Calibri" w:eastAsia="Calibri" w:hAnsi="Calibri" w:cs="Calibri"/>
                <w:sz w:val="20"/>
                <w:szCs w:val="20"/>
              </w:rPr>
            </w:pPr>
            <w:r w:rsidRPr="30C7FF53">
              <w:rPr>
                <w:rFonts w:eastAsia="Calibri"/>
                <w:sz w:val="20"/>
                <w:szCs w:val="20"/>
              </w:rPr>
              <w:t>60</w:t>
            </w:r>
          </w:p>
        </w:tc>
        <w:tc>
          <w:tcPr>
            <w:tcW w:w="1665" w:type="dxa"/>
          </w:tcPr>
          <w:p w14:paraId="00F7035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Missoula Public Housing Authority</w:t>
            </w:r>
            <w:r>
              <w:rPr>
                <w:rFonts w:eastAsia="Calibri" w:cstheme="minorHAnsi"/>
                <w:sz w:val="20"/>
                <w:szCs w:val="20"/>
              </w:rPr>
              <w:t xml:space="preserve"> (PHA)</w:t>
            </w:r>
          </w:p>
        </w:tc>
        <w:tc>
          <w:tcPr>
            <w:tcW w:w="1350" w:type="dxa"/>
          </w:tcPr>
          <w:p w14:paraId="1F47150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04FE051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HOPWA Strategy; Lead-Based Paint Strategy</w:t>
            </w:r>
          </w:p>
        </w:tc>
        <w:tc>
          <w:tcPr>
            <w:tcW w:w="1926" w:type="dxa"/>
          </w:tcPr>
          <w:p w14:paraId="2015D8AD" w14:textId="0074A809"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4088BD53" w14:textId="77777777" w:rsidTr="6EE14823">
        <w:trPr>
          <w:cantSplit/>
        </w:trPr>
        <w:tc>
          <w:tcPr>
            <w:tcW w:w="580" w:type="dxa"/>
          </w:tcPr>
          <w:p w14:paraId="2E841E1F" w14:textId="43BC994B" w:rsidR="00076739" w:rsidRPr="0041544A" w:rsidRDefault="3FF960E0">
            <w:pPr>
              <w:spacing w:line="276" w:lineRule="auto"/>
              <w:jc w:val="both"/>
              <w:rPr>
                <w:rFonts w:ascii="Calibri" w:eastAsia="Calibri" w:hAnsi="Calibri" w:cs="Calibri"/>
                <w:sz w:val="20"/>
                <w:szCs w:val="20"/>
              </w:rPr>
            </w:pPr>
            <w:r w:rsidRPr="30C7FF53">
              <w:rPr>
                <w:rFonts w:eastAsia="Calibri"/>
                <w:sz w:val="20"/>
                <w:szCs w:val="20"/>
              </w:rPr>
              <w:t>61</w:t>
            </w:r>
          </w:p>
        </w:tc>
        <w:tc>
          <w:tcPr>
            <w:tcW w:w="1665" w:type="dxa"/>
          </w:tcPr>
          <w:p w14:paraId="1D845C2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Montana Association of Counties</w:t>
            </w:r>
          </w:p>
        </w:tc>
        <w:tc>
          <w:tcPr>
            <w:tcW w:w="1350" w:type="dxa"/>
          </w:tcPr>
          <w:p w14:paraId="79CFF31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39ACEE8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w:t>
            </w:r>
          </w:p>
        </w:tc>
        <w:tc>
          <w:tcPr>
            <w:tcW w:w="1926" w:type="dxa"/>
          </w:tcPr>
          <w:p w14:paraId="3A46932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003B2C2B" w14:textId="77777777" w:rsidTr="6EE14823">
        <w:trPr>
          <w:cantSplit/>
        </w:trPr>
        <w:tc>
          <w:tcPr>
            <w:tcW w:w="580" w:type="dxa"/>
          </w:tcPr>
          <w:p w14:paraId="58D3F7C9" w14:textId="5815049B" w:rsidR="00076739" w:rsidRPr="0041544A" w:rsidRDefault="6554BDE5" w:rsidP="54FDEEE5">
            <w:pPr>
              <w:tabs>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Calibri"/>
                <w:sz w:val="20"/>
                <w:szCs w:val="20"/>
              </w:rPr>
            </w:pPr>
            <w:r w:rsidRPr="30C7FF53">
              <w:rPr>
                <w:rFonts w:eastAsia="Calibri"/>
                <w:sz w:val="20"/>
                <w:szCs w:val="20"/>
              </w:rPr>
              <w:lastRenderedPageBreak/>
              <w:t>6</w:t>
            </w:r>
            <w:r w:rsidR="0812149E" w:rsidRPr="30C7FF53">
              <w:rPr>
                <w:rFonts w:eastAsia="Calibri"/>
                <w:sz w:val="20"/>
                <w:szCs w:val="20"/>
              </w:rPr>
              <w:t>2</w:t>
            </w:r>
          </w:p>
        </w:tc>
        <w:tc>
          <w:tcPr>
            <w:tcW w:w="1665" w:type="dxa"/>
          </w:tcPr>
          <w:p w14:paraId="56D5C3AB"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Montana Board of Housing (MH)</w:t>
            </w:r>
          </w:p>
        </w:tc>
        <w:tc>
          <w:tcPr>
            <w:tcW w:w="1350" w:type="dxa"/>
          </w:tcPr>
          <w:p w14:paraId="61C0554E"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State</w:t>
            </w:r>
          </w:p>
        </w:tc>
        <w:tc>
          <w:tcPr>
            <w:tcW w:w="4140" w:type="dxa"/>
          </w:tcPr>
          <w:p w14:paraId="2A95778A"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Lead-Based Paint Strategy; Anti-Poverty Strategy</w:t>
            </w:r>
          </w:p>
        </w:tc>
        <w:tc>
          <w:tcPr>
            <w:tcW w:w="1926" w:type="dxa"/>
          </w:tcPr>
          <w:p w14:paraId="4317B9AE"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197BB110" w14:textId="77777777" w:rsidTr="6EE14823">
        <w:trPr>
          <w:cantSplit/>
        </w:trPr>
        <w:tc>
          <w:tcPr>
            <w:tcW w:w="580" w:type="dxa"/>
          </w:tcPr>
          <w:p w14:paraId="791A2CEF" w14:textId="13A81E9C" w:rsidR="00076739" w:rsidRPr="0041544A" w:rsidRDefault="000B7ECE" w:rsidP="54FDEEE5">
            <w:pPr>
              <w:spacing w:line="276" w:lineRule="auto"/>
              <w:jc w:val="both"/>
              <w:rPr>
                <w:rFonts w:eastAsia="Calibri"/>
                <w:sz w:val="20"/>
                <w:szCs w:val="20"/>
              </w:rPr>
            </w:pPr>
            <w:r w:rsidRPr="30C7FF53">
              <w:rPr>
                <w:rFonts w:eastAsia="Calibri"/>
                <w:sz w:val="20"/>
                <w:szCs w:val="20"/>
              </w:rPr>
              <w:t>6</w:t>
            </w:r>
            <w:r w:rsidR="56B40B36" w:rsidRPr="30C7FF53">
              <w:rPr>
                <w:rFonts w:eastAsia="Calibri"/>
                <w:sz w:val="20"/>
                <w:szCs w:val="20"/>
              </w:rPr>
              <w:t>3</w:t>
            </w:r>
          </w:p>
        </w:tc>
        <w:tc>
          <w:tcPr>
            <w:tcW w:w="1665" w:type="dxa"/>
          </w:tcPr>
          <w:p w14:paraId="7C3AB95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Montana Business Assistance Connection</w:t>
            </w:r>
          </w:p>
        </w:tc>
        <w:tc>
          <w:tcPr>
            <w:tcW w:w="1350" w:type="dxa"/>
          </w:tcPr>
          <w:p w14:paraId="73E4679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1C67D05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55B19A5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610C8517" w14:textId="77777777" w:rsidTr="6EE14823">
        <w:trPr>
          <w:cantSplit/>
        </w:trPr>
        <w:tc>
          <w:tcPr>
            <w:tcW w:w="580" w:type="dxa"/>
          </w:tcPr>
          <w:p w14:paraId="39446D08" w14:textId="03E1733D" w:rsidR="00076739" w:rsidRPr="0041544A" w:rsidRDefault="000B7ECE" w:rsidP="54FDEEE5">
            <w:pPr>
              <w:spacing w:line="276" w:lineRule="auto"/>
              <w:jc w:val="both"/>
              <w:rPr>
                <w:rFonts w:eastAsia="Calibri"/>
                <w:sz w:val="20"/>
                <w:szCs w:val="20"/>
              </w:rPr>
            </w:pPr>
            <w:r w:rsidRPr="30C7FF53">
              <w:rPr>
                <w:rFonts w:eastAsia="Calibri"/>
                <w:sz w:val="20"/>
                <w:szCs w:val="20"/>
              </w:rPr>
              <w:t>6</w:t>
            </w:r>
            <w:r w:rsidR="2B180126" w:rsidRPr="30C7FF53">
              <w:rPr>
                <w:rFonts w:eastAsia="Calibri"/>
                <w:sz w:val="20"/>
                <w:szCs w:val="20"/>
              </w:rPr>
              <w:t>4</w:t>
            </w:r>
          </w:p>
        </w:tc>
        <w:tc>
          <w:tcPr>
            <w:tcW w:w="1665" w:type="dxa"/>
          </w:tcPr>
          <w:p w14:paraId="1117AAE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Montana Community Development Corporation</w:t>
            </w:r>
          </w:p>
        </w:tc>
        <w:tc>
          <w:tcPr>
            <w:tcW w:w="1350" w:type="dxa"/>
          </w:tcPr>
          <w:p w14:paraId="5404B92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543F3D4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Non-Homeless Special Needs; Market Analysis; Economic Development; Lead-Based Paint Strategy; Anti-Poverty Strategy; Other – Infrastructure</w:t>
            </w:r>
          </w:p>
        </w:tc>
        <w:tc>
          <w:tcPr>
            <w:tcW w:w="1926" w:type="dxa"/>
          </w:tcPr>
          <w:p w14:paraId="191F4E53" w14:textId="165F2109" w:rsidR="00076739" w:rsidRPr="0041544A" w:rsidRDefault="00076739" w:rsidP="00076739">
            <w:pPr>
              <w:spacing w:line="276" w:lineRule="auto"/>
              <w:rPr>
                <w:rFonts w:eastAsia="Calibri" w:cstheme="minorHAnsi"/>
                <w:sz w:val="20"/>
                <w:szCs w:val="20"/>
              </w:rPr>
            </w:pPr>
            <w:r w:rsidRPr="003010AD">
              <w:rPr>
                <w:rFonts w:eastAsia="Calibri" w:cstheme="minorHAnsi"/>
                <w:sz w:val="20"/>
                <w:szCs w:val="20"/>
              </w:rPr>
              <w:t>Participated as public repository</w:t>
            </w:r>
          </w:p>
        </w:tc>
      </w:tr>
      <w:tr w:rsidR="00637995" w:rsidRPr="0041544A" w14:paraId="54E990AD" w14:textId="77777777" w:rsidTr="6EE14823">
        <w:trPr>
          <w:cantSplit/>
        </w:trPr>
        <w:tc>
          <w:tcPr>
            <w:tcW w:w="580" w:type="dxa"/>
          </w:tcPr>
          <w:p w14:paraId="385AB360" w14:textId="34142E03" w:rsidR="00076739" w:rsidRPr="0041544A" w:rsidRDefault="000B7ECE" w:rsidP="54FDEEE5">
            <w:pPr>
              <w:spacing w:line="276" w:lineRule="auto"/>
              <w:jc w:val="both"/>
              <w:rPr>
                <w:rFonts w:eastAsia="Calibri"/>
                <w:sz w:val="20"/>
                <w:szCs w:val="20"/>
              </w:rPr>
            </w:pPr>
            <w:r w:rsidRPr="30C7FF53">
              <w:rPr>
                <w:rFonts w:eastAsia="Calibri"/>
                <w:sz w:val="20"/>
                <w:szCs w:val="20"/>
              </w:rPr>
              <w:t>6</w:t>
            </w:r>
            <w:r w:rsidR="64D8BB1C" w:rsidRPr="30C7FF53">
              <w:rPr>
                <w:rFonts w:eastAsia="Calibri"/>
                <w:sz w:val="20"/>
                <w:szCs w:val="20"/>
              </w:rPr>
              <w:t>5</w:t>
            </w:r>
          </w:p>
        </w:tc>
        <w:tc>
          <w:tcPr>
            <w:tcW w:w="1665" w:type="dxa"/>
          </w:tcPr>
          <w:p w14:paraId="0AA0328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Montana Continuum of Care Coalition (</w:t>
            </w:r>
            <w:proofErr w:type="spellStart"/>
            <w:r w:rsidRPr="0041544A">
              <w:rPr>
                <w:rFonts w:eastAsia="Calibri" w:cstheme="minorHAnsi"/>
                <w:sz w:val="20"/>
                <w:szCs w:val="20"/>
              </w:rPr>
              <w:t>MTCoC</w:t>
            </w:r>
            <w:proofErr w:type="spellEnd"/>
            <w:r w:rsidRPr="0041544A">
              <w:rPr>
                <w:rFonts w:eastAsia="Calibri" w:cstheme="minorHAnsi"/>
                <w:sz w:val="20"/>
                <w:szCs w:val="20"/>
              </w:rPr>
              <w:t>)</w:t>
            </w:r>
          </w:p>
        </w:tc>
        <w:tc>
          <w:tcPr>
            <w:tcW w:w="1350" w:type="dxa"/>
          </w:tcPr>
          <w:p w14:paraId="3EC052C5"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7334199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w:t>
            </w:r>
          </w:p>
        </w:tc>
        <w:tc>
          <w:tcPr>
            <w:tcW w:w="1926" w:type="dxa"/>
          </w:tcPr>
          <w:p w14:paraId="30C6C7B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4873E7A5" w14:textId="77777777" w:rsidTr="6EE14823">
        <w:trPr>
          <w:cantSplit/>
        </w:trPr>
        <w:tc>
          <w:tcPr>
            <w:tcW w:w="580" w:type="dxa"/>
          </w:tcPr>
          <w:p w14:paraId="1F600FB8" w14:textId="2C729EB9" w:rsidR="00076739" w:rsidRPr="0041544A" w:rsidRDefault="000B7ECE" w:rsidP="54FDEEE5">
            <w:pPr>
              <w:tabs>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Calibri"/>
                <w:sz w:val="20"/>
                <w:szCs w:val="20"/>
              </w:rPr>
            </w:pPr>
            <w:r w:rsidRPr="30C7FF53">
              <w:rPr>
                <w:rFonts w:eastAsia="Calibri"/>
                <w:sz w:val="20"/>
                <w:szCs w:val="20"/>
              </w:rPr>
              <w:t>6</w:t>
            </w:r>
            <w:r w:rsidR="4FD74075" w:rsidRPr="30C7FF53">
              <w:rPr>
                <w:rFonts w:eastAsia="Calibri"/>
                <w:sz w:val="20"/>
                <w:szCs w:val="20"/>
              </w:rPr>
              <w:t>6</w:t>
            </w:r>
          </w:p>
        </w:tc>
        <w:tc>
          <w:tcPr>
            <w:tcW w:w="1665" w:type="dxa"/>
          </w:tcPr>
          <w:p w14:paraId="4347DBA3"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Montana Department of Environmental Quality (DEQ)</w:t>
            </w:r>
          </w:p>
        </w:tc>
        <w:tc>
          <w:tcPr>
            <w:tcW w:w="1350" w:type="dxa"/>
          </w:tcPr>
          <w:p w14:paraId="36C1D53B"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State</w:t>
            </w:r>
          </w:p>
        </w:tc>
        <w:tc>
          <w:tcPr>
            <w:tcW w:w="4140" w:type="dxa"/>
          </w:tcPr>
          <w:p w14:paraId="451E0A2E"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Lead-Based Paint Strategy; Other – Infrastructure</w:t>
            </w:r>
          </w:p>
        </w:tc>
        <w:tc>
          <w:tcPr>
            <w:tcW w:w="1926" w:type="dxa"/>
          </w:tcPr>
          <w:p w14:paraId="2C796712"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Included on email listserv</w:t>
            </w:r>
          </w:p>
        </w:tc>
      </w:tr>
      <w:tr w:rsidR="00637995" w:rsidRPr="0041544A" w14:paraId="52846048" w14:textId="77777777" w:rsidTr="6EE14823">
        <w:trPr>
          <w:cantSplit/>
        </w:trPr>
        <w:tc>
          <w:tcPr>
            <w:tcW w:w="580" w:type="dxa"/>
          </w:tcPr>
          <w:p w14:paraId="218A7112" w14:textId="5A3A57F9" w:rsidR="00076739" w:rsidRPr="0041544A" w:rsidRDefault="000B7ECE" w:rsidP="54FDEEE5">
            <w:pPr>
              <w:tabs>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Calibri"/>
                <w:sz w:val="20"/>
                <w:szCs w:val="20"/>
              </w:rPr>
            </w:pPr>
            <w:r w:rsidRPr="30C7FF53">
              <w:rPr>
                <w:rFonts w:eastAsia="Calibri"/>
                <w:sz w:val="20"/>
                <w:szCs w:val="20"/>
              </w:rPr>
              <w:t>6</w:t>
            </w:r>
            <w:r w:rsidR="2184ED97" w:rsidRPr="30C7FF53">
              <w:rPr>
                <w:rFonts w:eastAsia="Calibri"/>
                <w:sz w:val="20"/>
                <w:szCs w:val="20"/>
              </w:rPr>
              <w:t>7</w:t>
            </w:r>
          </w:p>
        </w:tc>
        <w:tc>
          <w:tcPr>
            <w:tcW w:w="1665" w:type="dxa"/>
          </w:tcPr>
          <w:p w14:paraId="572087FE"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 xml:space="preserve">Montana Department of Labor </w:t>
            </w:r>
            <w:r>
              <w:rPr>
                <w:rFonts w:eastAsia="Calibri" w:cstheme="minorHAnsi"/>
                <w:sz w:val="20"/>
                <w:szCs w:val="20"/>
              </w:rPr>
              <w:t>&amp;</w:t>
            </w:r>
            <w:r w:rsidRPr="0041544A">
              <w:rPr>
                <w:rFonts w:eastAsia="Calibri" w:cstheme="minorHAnsi"/>
                <w:sz w:val="20"/>
                <w:szCs w:val="20"/>
              </w:rPr>
              <w:t xml:space="preserve"> Industry (DLI)</w:t>
            </w:r>
          </w:p>
        </w:tc>
        <w:tc>
          <w:tcPr>
            <w:tcW w:w="1350" w:type="dxa"/>
          </w:tcPr>
          <w:p w14:paraId="160E0DEB"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State</w:t>
            </w:r>
          </w:p>
        </w:tc>
        <w:tc>
          <w:tcPr>
            <w:tcW w:w="4140" w:type="dxa"/>
          </w:tcPr>
          <w:p w14:paraId="3438A067"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Market Analysis; Economic Development; Anti-Poverty Strategy</w:t>
            </w:r>
          </w:p>
        </w:tc>
        <w:tc>
          <w:tcPr>
            <w:tcW w:w="1926" w:type="dxa"/>
          </w:tcPr>
          <w:p w14:paraId="7B6E5373"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Included on email listserv</w:t>
            </w:r>
          </w:p>
        </w:tc>
      </w:tr>
      <w:tr w:rsidR="00637995" w:rsidRPr="0041544A" w14:paraId="350EE01B" w14:textId="77777777" w:rsidTr="6EE14823">
        <w:trPr>
          <w:cantSplit/>
        </w:trPr>
        <w:tc>
          <w:tcPr>
            <w:tcW w:w="580" w:type="dxa"/>
          </w:tcPr>
          <w:p w14:paraId="3B6E8D96" w14:textId="6C625372" w:rsidR="00076739" w:rsidRPr="0041544A" w:rsidRDefault="000B7ECE" w:rsidP="54FDEEE5">
            <w:pPr>
              <w:tabs>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Calibri"/>
                <w:sz w:val="20"/>
                <w:szCs w:val="20"/>
              </w:rPr>
            </w:pPr>
            <w:r w:rsidRPr="30C7FF53">
              <w:rPr>
                <w:rFonts w:eastAsia="Calibri"/>
                <w:sz w:val="20"/>
                <w:szCs w:val="20"/>
              </w:rPr>
              <w:t>6</w:t>
            </w:r>
            <w:r w:rsidR="32AFA5A0" w:rsidRPr="30C7FF53">
              <w:rPr>
                <w:rFonts w:eastAsia="Calibri"/>
                <w:sz w:val="20"/>
                <w:szCs w:val="20"/>
              </w:rPr>
              <w:t>8</w:t>
            </w:r>
          </w:p>
        </w:tc>
        <w:tc>
          <w:tcPr>
            <w:tcW w:w="1665" w:type="dxa"/>
          </w:tcPr>
          <w:p w14:paraId="1B3A8EC2"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Montana Department of Natural Resources and Conservation</w:t>
            </w:r>
          </w:p>
        </w:tc>
        <w:tc>
          <w:tcPr>
            <w:tcW w:w="1350" w:type="dxa"/>
          </w:tcPr>
          <w:p w14:paraId="30836518"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State</w:t>
            </w:r>
          </w:p>
        </w:tc>
        <w:tc>
          <w:tcPr>
            <w:tcW w:w="4140" w:type="dxa"/>
          </w:tcPr>
          <w:p w14:paraId="3BCA2189"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Economic Development; Other – Infrastructure</w:t>
            </w:r>
          </w:p>
        </w:tc>
        <w:tc>
          <w:tcPr>
            <w:tcW w:w="1926" w:type="dxa"/>
          </w:tcPr>
          <w:p w14:paraId="54755A1D"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Included on email listserv</w:t>
            </w:r>
          </w:p>
        </w:tc>
      </w:tr>
      <w:tr w:rsidR="00637995" w:rsidRPr="0041544A" w14:paraId="32169852" w14:textId="77777777" w:rsidTr="6EE14823">
        <w:trPr>
          <w:cantSplit/>
        </w:trPr>
        <w:tc>
          <w:tcPr>
            <w:tcW w:w="580" w:type="dxa"/>
          </w:tcPr>
          <w:p w14:paraId="16B82FEC" w14:textId="366C6B5D" w:rsidR="00076739" w:rsidRPr="0041544A" w:rsidRDefault="000B7ECE" w:rsidP="54FDEEE5">
            <w:pPr>
              <w:tabs>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Calibri"/>
                <w:sz w:val="20"/>
                <w:szCs w:val="20"/>
              </w:rPr>
            </w:pPr>
            <w:r w:rsidRPr="30C7FF53">
              <w:rPr>
                <w:rFonts w:eastAsia="Calibri"/>
                <w:sz w:val="20"/>
                <w:szCs w:val="20"/>
              </w:rPr>
              <w:t>6</w:t>
            </w:r>
            <w:r w:rsidR="4CF2F443" w:rsidRPr="30C7FF53">
              <w:rPr>
                <w:rFonts w:eastAsia="Calibri"/>
                <w:sz w:val="20"/>
                <w:szCs w:val="20"/>
              </w:rPr>
              <w:t>9</w:t>
            </w:r>
          </w:p>
        </w:tc>
        <w:tc>
          <w:tcPr>
            <w:tcW w:w="1665" w:type="dxa"/>
          </w:tcPr>
          <w:p w14:paraId="3313287B"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Montana Department of Revenue (DOR)</w:t>
            </w:r>
          </w:p>
        </w:tc>
        <w:tc>
          <w:tcPr>
            <w:tcW w:w="1350" w:type="dxa"/>
          </w:tcPr>
          <w:p w14:paraId="0104D5EC"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State</w:t>
            </w:r>
          </w:p>
        </w:tc>
        <w:tc>
          <w:tcPr>
            <w:tcW w:w="4140" w:type="dxa"/>
          </w:tcPr>
          <w:p w14:paraId="318F6D0B"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Housing Needs Assessment; Economic Development; Market Analysis</w:t>
            </w:r>
          </w:p>
        </w:tc>
        <w:tc>
          <w:tcPr>
            <w:tcW w:w="1926" w:type="dxa"/>
          </w:tcPr>
          <w:p w14:paraId="6656FC36"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781C2E89" w14:textId="77777777" w:rsidTr="6EE14823">
        <w:trPr>
          <w:cantSplit/>
        </w:trPr>
        <w:tc>
          <w:tcPr>
            <w:tcW w:w="580" w:type="dxa"/>
          </w:tcPr>
          <w:p w14:paraId="27DE44C7" w14:textId="72B03D9C" w:rsidR="00076739" w:rsidRPr="0041544A" w:rsidRDefault="20F787BD" w:rsidP="54FDEEE5">
            <w:pPr>
              <w:tabs>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Calibri"/>
                <w:sz w:val="20"/>
                <w:szCs w:val="20"/>
              </w:rPr>
            </w:pPr>
            <w:r w:rsidRPr="30C7FF53">
              <w:rPr>
                <w:rFonts w:eastAsia="Calibri"/>
                <w:sz w:val="20"/>
                <w:szCs w:val="20"/>
              </w:rPr>
              <w:lastRenderedPageBreak/>
              <w:t>70</w:t>
            </w:r>
          </w:p>
        </w:tc>
        <w:tc>
          <w:tcPr>
            <w:tcW w:w="1665" w:type="dxa"/>
          </w:tcPr>
          <w:p w14:paraId="1501489C"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Montana Department of Transportation</w:t>
            </w:r>
          </w:p>
        </w:tc>
        <w:tc>
          <w:tcPr>
            <w:tcW w:w="1350" w:type="dxa"/>
          </w:tcPr>
          <w:p w14:paraId="6D4B32A1"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State</w:t>
            </w:r>
          </w:p>
        </w:tc>
        <w:tc>
          <w:tcPr>
            <w:tcW w:w="4140" w:type="dxa"/>
          </w:tcPr>
          <w:p w14:paraId="78E23FE6"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Non-Homeless Special Needs; Economic Development; Other – Infrastructure</w:t>
            </w:r>
          </w:p>
        </w:tc>
        <w:tc>
          <w:tcPr>
            <w:tcW w:w="1926" w:type="dxa"/>
          </w:tcPr>
          <w:p w14:paraId="1ABA4CAC" w14:textId="77777777" w:rsidR="00076739" w:rsidRPr="0041544A" w:rsidRDefault="00076739" w:rsidP="00076739">
            <w:pPr>
              <w:tabs>
                <w:tab w:val="left" w:pos="-1123"/>
                <w:tab w:val="left" w:pos="-720"/>
                <w:tab w:val="left" w:pos="0"/>
                <w:tab w:val="left" w:pos="720"/>
                <w:tab w:val="left" w:pos="900"/>
                <w:tab w:val="left" w:pos="108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cstheme="minorHAnsi"/>
                <w:sz w:val="20"/>
                <w:szCs w:val="20"/>
              </w:rPr>
            </w:pPr>
            <w:r w:rsidRPr="0041544A">
              <w:rPr>
                <w:rFonts w:eastAsia="Calibri" w:cstheme="minorHAnsi"/>
                <w:sz w:val="20"/>
                <w:szCs w:val="20"/>
              </w:rPr>
              <w:t>Included on email listserv</w:t>
            </w:r>
          </w:p>
        </w:tc>
      </w:tr>
      <w:tr w:rsidR="00637995" w:rsidRPr="0041544A" w14:paraId="3052E6EE" w14:textId="77777777" w:rsidTr="6EE14823">
        <w:trPr>
          <w:cantSplit/>
        </w:trPr>
        <w:tc>
          <w:tcPr>
            <w:tcW w:w="580" w:type="dxa"/>
          </w:tcPr>
          <w:p w14:paraId="6014A453" w14:textId="0ACA391C" w:rsidR="00076739" w:rsidRPr="0041544A" w:rsidRDefault="62DA4298" w:rsidP="54FDEEE5">
            <w:pPr>
              <w:spacing w:line="276" w:lineRule="auto"/>
              <w:jc w:val="both"/>
              <w:rPr>
                <w:rFonts w:eastAsia="Calibri"/>
                <w:sz w:val="20"/>
                <w:szCs w:val="20"/>
              </w:rPr>
            </w:pPr>
            <w:r w:rsidRPr="30C7FF53">
              <w:rPr>
                <w:rFonts w:eastAsia="Calibri"/>
                <w:sz w:val="20"/>
                <w:szCs w:val="20"/>
              </w:rPr>
              <w:t>71</w:t>
            </w:r>
          </w:p>
        </w:tc>
        <w:tc>
          <w:tcPr>
            <w:tcW w:w="1665" w:type="dxa"/>
          </w:tcPr>
          <w:p w14:paraId="12F0F58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Montana Fair Housing</w:t>
            </w:r>
          </w:p>
        </w:tc>
        <w:tc>
          <w:tcPr>
            <w:tcW w:w="1350" w:type="dxa"/>
          </w:tcPr>
          <w:p w14:paraId="4107C25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61B740F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 Needs – Chronically Homeless; Homeless Needs – Families with Children; Homelessness Needs – Veterans; Homelessness Needs – Unaccompanied Youth; Homelessness Strategy; Non-Homeless Special Needs; HOPWA Strategy; Lead-Based Paint Strategy; Anti-Poverty Strategy</w:t>
            </w:r>
          </w:p>
        </w:tc>
        <w:tc>
          <w:tcPr>
            <w:tcW w:w="1926" w:type="dxa"/>
          </w:tcPr>
          <w:p w14:paraId="4E44613B" w14:textId="5258968E" w:rsidR="00076739" w:rsidRPr="0041544A" w:rsidRDefault="00076739" w:rsidP="00076739">
            <w:pPr>
              <w:spacing w:line="276" w:lineRule="auto"/>
              <w:rPr>
                <w:rFonts w:eastAsia="Calibri" w:cstheme="minorHAnsi"/>
                <w:sz w:val="20"/>
                <w:szCs w:val="20"/>
              </w:rPr>
            </w:pPr>
            <w:r w:rsidRPr="00D17276">
              <w:rPr>
                <w:rFonts w:eastAsia="Calibri" w:cstheme="minorHAnsi"/>
                <w:sz w:val="20"/>
                <w:szCs w:val="20"/>
              </w:rPr>
              <w:t>Participated as public repository</w:t>
            </w:r>
          </w:p>
        </w:tc>
      </w:tr>
      <w:tr w:rsidR="00637995" w:rsidRPr="0041544A" w14:paraId="2B8737E9" w14:textId="77777777" w:rsidTr="6EE14823">
        <w:trPr>
          <w:cantSplit/>
        </w:trPr>
        <w:tc>
          <w:tcPr>
            <w:tcW w:w="580" w:type="dxa"/>
          </w:tcPr>
          <w:p w14:paraId="777211C6" w14:textId="44586E43" w:rsidR="00076739" w:rsidRPr="0041544A" w:rsidRDefault="6554BDE5" w:rsidP="54FDEEE5">
            <w:pPr>
              <w:spacing w:line="276" w:lineRule="auto"/>
              <w:jc w:val="both"/>
              <w:rPr>
                <w:rFonts w:eastAsia="Calibri"/>
                <w:sz w:val="20"/>
                <w:szCs w:val="20"/>
              </w:rPr>
            </w:pPr>
            <w:r w:rsidRPr="30C7FF53">
              <w:rPr>
                <w:rFonts w:eastAsia="Calibri"/>
                <w:sz w:val="20"/>
                <w:szCs w:val="20"/>
              </w:rPr>
              <w:t>7</w:t>
            </w:r>
            <w:r w:rsidR="070EEC82" w:rsidRPr="30C7FF53">
              <w:rPr>
                <w:rFonts w:eastAsia="Calibri"/>
                <w:sz w:val="20"/>
                <w:szCs w:val="20"/>
              </w:rPr>
              <w:t>2</w:t>
            </w:r>
          </w:p>
        </w:tc>
        <w:tc>
          <w:tcPr>
            <w:tcW w:w="1665" w:type="dxa"/>
          </w:tcPr>
          <w:p w14:paraId="6E20C68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Montana Human Rights Bureau</w:t>
            </w:r>
          </w:p>
        </w:tc>
        <w:tc>
          <w:tcPr>
            <w:tcW w:w="1350" w:type="dxa"/>
          </w:tcPr>
          <w:p w14:paraId="7A6DDF2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State</w:t>
            </w:r>
          </w:p>
        </w:tc>
        <w:tc>
          <w:tcPr>
            <w:tcW w:w="4140" w:type="dxa"/>
          </w:tcPr>
          <w:p w14:paraId="64176DA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 Needs – Chronically Homeless; Homeless Needs – Families with Children; Homelessness Needs – Veterans; Homelessness Needs – Unaccompanied Youth; Homelessness Strategy; Non-Homeless Special Needs; HOPWA Strategy; Lead-Based Paint Strategy; Anti-Poverty Strategy</w:t>
            </w:r>
          </w:p>
        </w:tc>
        <w:tc>
          <w:tcPr>
            <w:tcW w:w="1926" w:type="dxa"/>
          </w:tcPr>
          <w:p w14:paraId="71D5A0D0" w14:textId="77777777" w:rsidR="00076739" w:rsidRPr="0041544A" w:rsidRDefault="00076739" w:rsidP="00076739">
            <w:pPr>
              <w:spacing w:line="276" w:lineRule="auto"/>
              <w:rPr>
                <w:rFonts w:eastAsia="Calibri" w:cstheme="minorHAnsi"/>
                <w:sz w:val="20"/>
                <w:szCs w:val="20"/>
              </w:rPr>
            </w:pPr>
            <w:r w:rsidRPr="005C5D63">
              <w:rPr>
                <w:rFonts w:eastAsia="Calibri" w:cstheme="minorHAnsi"/>
                <w:sz w:val="20"/>
                <w:szCs w:val="20"/>
              </w:rPr>
              <w:t>Participated as public repository</w:t>
            </w:r>
          </w:p>
        </w:tc>
      </w:tr>
      <w:tr w:rsidR="00637995" w:rsidRPr="0041544A" w14:paraId="1F2BC290" w14:textId="77777777" w:rsidTr="6EE14823">
        <w:trPr>
          <w:cantSplit/>
        </w:trPr>
        <w:tc>
          <w:tcPr>
            <w:tcW w:w="580" w:type="dxa"/>
          </w:tcPr>
          <w:p w14:paraId="7D78B24B" w14:textId="2AD5F2F5" w:rsidR="00076739" w:rsidRPr="0041544A" w:rsidRDefault="000B7ECE" w:rsidP="54FDEEE5">
            <w:pPr>
              <w:spacing w:line="276" w:lineRule="auto"/>
              <w:jc w:val="both"/>
              <w:rPr>
                <w:rFonts w:eastAsia="Calibri"/>
                <w:sz w:val="20"/>
                <w:szCs w:val="20"/>
              </w:rPr>
            </w:pPr>
            <w:r w:rsidRPr="30C7FF53">
              <w:rPr>
                <w:rFonts w:eastAsia="Calibri"/>
                <w:sz w:val="20"/>
                <w:szCs w:val="20"/>
              </w:rPr>
              <w:t>7</w:t>
            </w:r>
            <w:r w:rsidR="7643A062" w:rsidRPr="30C7FF53">
              <w:rPr>
                <w:rFonts w:eastAsia="Calibri"/>
                <w:sz w:val="20"/>
                <w:szCs w:val="20"/>
              </w:rPr>
              <w:t>3</w:t>
            </w:r>
          </w:p>
        </w:tc>
        <w:tc>
          <w:tcPr>
            <w:tcW w:w="1665" w:type="dxa"/>
          </w:tcPr>
          <w:p w14:paraId="1A5CE07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Montana Independent Living Project (MILP)</w:t>
            </w:r>
          </w:p>
        </w:tc>
        <w:tc>
          <w:tcPr>
            <w:tcW w:w="1350" w:type="dxa"/>
          </w:tcPr>
          <w:p w14:paraId="781CA4A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p w14:paraId="7DE4751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Services – Persons with Disabilities</w:t>
            </w:r>
          </w:p>
        </w:tc>
        <w:tc>
          <w:tcPr>
            <w:tcW w:w="4140" w:type="dxa"/>
          </w:tcPr>
          <w:p w14:paraId="406C49E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w:t>
            </w:r>
          </w:p>
        </w:tc>
        <w:tc>
          <w:tcPr>
            <w:tcW w:w="1926" w:type="dxa"/>
          </w:tcPr>
          <w:p w14:paraId="155CAB7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r w:rsidRPr="00B47F4B">
              <w:rPr>
                <w:rFonts w:eastAsia="Calibri" w:cstheme="minorHAnsi"/>
                <w:sz w:val="20"/>
                <w:szCs w:val="20"/>
              </w:rPr>
              <w:t>participated as public repository</w:t>
            </w:r>
          </w:p>
        </w:tc>
      </w:tr>
      <w:tr w:rsidR="00637995" w:rsidRPr="0041544A" w14:paraId="3346FFFF" w14:textId="77777777" w:rsidTr="6EE14823">
        <w:trPr>
          <w:cantSplit/>
        </w:trPr>
        <w:tc>
          <w:tcPr>
            <w:tcW w:w="580" w:type="dxa"/>
          </w:tcPr>
          <w:p w14:paraId="6CD3D438" w14:textId="07961910" w:rsidR="00076739" w:rsidRPr="0041544A" w:rsidRDefault="000B7ECE" w:rsidP="54FDEEE5">
            <w:pPr>
              <w:spacing w:line="276" w:lineRule="auto"/>
              <w:jc w:val="both"/>
              <w:rPr>
                <w:rFonts w:eastAsia="Calibri"/>
                <w:sz w:val="20"/>
                <w:szCs w:val="20"/>
              </w:rPr>
            </w:pPr>
            <w:r w:rsidRPr="30C7FF53">
              <w:rPr>
                <w:rFonts w:eastAsia="Calibri"/>
                <w:sz w:val="20"/>
                <w:szCs w:val="20"/>
              </w:rPr>
              <w:t>7</w:t>
            </w:r>
            <w:r w:rsidR="4FC0C5AB" w:rsidRPr="30C7FF53">
              <w:rPr>
                <w:rFonts w:eastAsia="Calibri"/>
                <w:sz w:val="20"/>
                <w:szCs w:val="20"/>
              </w:rPr>
              <w:t>4</w:t>
            </w:r>
          </w:p>
        </w:tc>
        <w:tc>
          <w:tcPr>
            <w:tcW w:w="1665" w:type="dxa"/>
          </w:tcPr>
          <w:p w14:paraId="1581543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Montana League of Cities and Towns</w:t>
            </w:r>
          </w:p>
        </w:tc>
        <w:tc>
          <w:tcPr>
            <w:tcW w:w="1350" w:type="dxa"/>
          </w:tcPr>
          <w:p w14:paraId="1D899795"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Regional organization </w:t>
            </w:r>
          </w:p>
        </w:tc>
        <w:tc>
          <w:tcPr>
            <w:tcW w:w="4140" w:type="dxa"/>
          </w:tcPr>
          <w:p w14:paraId="4288E66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w:t>
            </w:r>
          </w:p>
        </w:tc>
        <w:tc>
          <w:tcPr>
            <w:tcW w:w="1926" w:type="dxa"/>
          </w:tcPr>
          <w:p w14:paraId="18FCBF63" w14:textId="2B94A379"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2EE0BEC4" w14:textId="77777777" w:rsidTr="6EE14823">
        <w:trPr>
          <w:cantSplit/>
        </w:trPr>
        <w:tc>
          <w:tcPr>
            <w:tcW w:w="580" w:type="dxa"/>
          </w:tcPr>
          <w:p w14:paraId="45D7BAF8" w14:textId="58483F5C" w:rsidR="00076739" w:rsidRPr="0041544A" w:rsidRDefault="000B7ECE" w:rsidP="54FDEEE5">
            <w:pPr>
              <w:spacing w:line="276" w:lineRule="auto"/>
              <w:jc w:val="both"/>
              <w:rPr>
                <w:rFonts w:eastAsia="Calibri"/>
                <w:sz w:val="20"/>
                <w:szCs w:val="20"/>
              </w:rPr>
            </w:pPr>
            <w:r w:rsidRPr="30C7FF53">
              <w:rPr>
                <w:rFonts w:eastAsia="Calibri"/>
                <w:sz w:val="20"/>
                <w:szCs w:val="20"/>
              </w:rPr>
              <w:t>7</w:t>
            </w:r>
            <w:r w:rsidR="2E88C406" w:rsidRPr="30C7FF53">
              <w:rPr>
                <w:rFonts w:eastAsia="Calibri"/>
                <w:sz w:val="20"/>
                <w:szCs w:val="20"/>
              </w:rPr>
              <w:t>5</w:t>
            </w:r>
          </w:p>
        </w:tc>
        <w:tc>
          <w:tcPr>
            <w:tcW w:w="1665" w:type="dxa"/>
          </w:tcPr>
          <w:p w14:paraId="002C941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Montana Reentry Initiative Task Force</w:t>
            </w:r>
          </w:p>
        </w:tc>
        <w:tc>
          <w:tcPr>
            <w:tcW w:w="1350" w:type="dxa"/>
          </w:tcPr>
          <w:p w14:paraId="4938E6B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Statewide multi-agency task force</w:t>
            </w:r>
          </w:p>
        </w:tc>
        <w:tc>
          <w:tcPr>
            <w:tcW w:w="4140" w:type="dxa"/>
          </w:tcPr>
          <w:p w14:paraId="26F8614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Non-Homeless Special Needs; Market Analysis; Anti-Poverty Strategy</w:t>
            </w:r>
          </w:p>
        </w:tc>
        <w:tc>
          <w:tcPr>
            <w:tcW w:w="1926" w:type="dxa"/>
          </w:tcPr>
          <w:p w14:paraId="21B81A9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17E4BDF4" w14:textId="77777777" w:rsidTr="6EE14823">
        <w:trPr>
          <w:cantSplit/>
        </w:trPr>
        <w:tc>
          <w:tcPr>
            <w:tcW w:w="580" w:type="dxa"/>
          </w:tcPr>
          <w:p w14:paraId="7F03299C" w14:textId="34D90DE1" w:rsidR="00076739" w:rsidRPr="0041544A" w:rsidRDefault="000B7ECE" w:rsidP="54FDEEE5">
            <w:pPr>
              <w:spacing w:line="276" w:lineRule="auto"/>
              <w:jc w:val="both"/>
              <w:rPr>
                <w:rFonts w:eastAsia="Calibri"/>
                <w:sz w:val="20"/>
                <w:szCs w:val="20"/>
              </w:rPr>
            </w:pPr>
            <w:r w:rsidRPr="30C7FF53">
              <w:rPr>
                <w:rFonts w:eastAsia="Calibri"/>
                <w:sz w:val="20"/>
                <w:szCs w:val="20"/>
              </w:rPr>
              <w:lastRenderedPageBreak/>
              <w:t>7</w:t>
            </w:r>
            <w:r w:rsidR="2D601EB0" w:rsidRPr="30C7FF53">
              <w:rPr>
                <w:rFonts w:eastAsia="Calibri"/>
                <w:sz w:val="20"/>
                <w:szCs w:val="20"/>
              </w:rPr>
              <w:t>6</w:t>
            </w:r>
          </w:p>
        </w:tc>
        <w:tc>
          <w:tcPr>
            <w:tcW w:w="1665" w:type="dxa"/>
          </w:tcPr>
          <w:p w14:paraId="37603FA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Montana State Library</w:t>
            </w:r>
          </w:p>
        </w:tc>
        <w:tc>
          <w:tcPr>
            <w:tcW w:w="1350" w:type="dxa"/>
          </w:tcPr>
          <w:p w14:paraId="0276DEC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State</w:t>
            </w:r>
          </w:p>
        </w:tc>
        <w:tc>
          <w:tcPr>
            <w:tcW w:w="4140" w:type="dxa"/>
          </w:tcPr>
          <w:p w14:paraId="254D74D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 Needs – Chronically Homeless; Homeless Needs – Families with Children; Homelessness Needs – Veterans; Homelessness Needs – Unaccompanied Youth; Homelessness Strategy; Non-Homeless Special Needs; HOPWA Strategy; Lead-Based Paint Strategy; Anti-Poverty Strategy</w:t>
            </w:r>
          </w:p>
        </w:tc>
        <w:tc>
          <w:tcPr>
            <w:tcW w:w="1926" w:type="dxa"/>
          </w:tcPr>
          <w:p w14:paraId="27879826" w14:textId="77777777" w:rsidR="00076739" w:rsidRPr="0041544A" w:rsidRDefault="00076739" w:rsidP="00076739">
            <w:pPr>
              <w:spacing w:line="276" w:lineRule="auto"/>
              <w:rPr>
                <w:rFonts w:eastAsia="Calibri" w:cstheme="minorHAnsi"/>
                <w:sz w:val="20"/>
                <w:szCs w:val="20"/>
              </w:rPr>
            </w:pPr>
            <w:r w:rsidRPr="00EB76C1">
              <w:rPr>
                <w:rFonts w:eastAsia="Calibri" w:cstheme="minorHAnsi"/>
                <w:sz w:val="20"/>
                <w:szCs w:val="20"/>
              </w:rPr>
              <w:t>Participated as public repository</w:t>
            </w:r>
          </w:p>
        </w:tc>
      </w:tr>
      <w:tr w:rsidR="00637995" w:rsidRPr="0041544A" w14:paraId="76B027C4" w14:textId="77777777" w:rsidTr="6EE14823">
        <w:trPr>
          <w:cantSplit/>
        </w:trPr>
        <w:tc>
          <w:tcPr>
            <w:tcW w:w="580" w:type="dxa"/>
          </w:tcPr>
          <w:p w14:paraId="3D57EC71" w14:textId="18979529" w:rsidR="00076739" w:rsidRPr="0041544A" w:rsidRDefault="000B7ECE" w:rsidP="54FDEEE5">
            <w:pPr>
              <w:spacing w:line="276" w:lineRule="auto"/>
              <w:jc w:val="both"/>
              <w:rPr>
                <w:rFonts w:eastAsia="Calibri"/>
                <w:sz w:val="20"/>
                <w:szCs w:val="20"/>
              </w:rPr>
            </w:pPr>
            <w:r w:rsidRPr="30C7FF53">
              <w:rPr>
                <w:rFonts w:eastAsia="Calibri"/>
                <w:sz w:val="20"/>
                <w:szCs w:val="20"/>
              </w:rPr>
              <w:t>7</w:t>
            </w:r>
            <w:r w:rsidR="31663354" w:rsidRPr="30C7FF53">
              <w:rPr>
                <w:rFonts w:eastAsia="Calibri"/>
                <w:sz w:val="20"/>
                <w:szCs w:val="20"/>
              </w:rPr>
              <w:t>7</w:t>
            </w:r>
          </w:p>
        </w:tc>
        <w:tc>
          <w:tcPr>
            <w:tcW w:w="1665" w:type="dxa"/>
          </w:tcPr>
          <w:p w14:paraId="71168AB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Montana State University – Local Government Center</w:t>
            </w:r>
          </w:p>
        </w:tc>
        <w:tc>
          <w:tcPr>
            <w:tcW w:w="1350" w:type="dxa"/>
          </w:tcPr>
          <w:p w14:paraId="08D5266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State</w:t>
            </w:r>
          </w:p>
        </w:tc>
        <w:tc>
          <w:tcPr>
            <w:tcW w:w="4140" w:type="dxa"/>
          </w:tcPr>
          <w:p w14:paraId="742F7B5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Non-Homeless Special Needs; Market Analysis; Economic Development; Anti-Poverty Strategy; Other – Infrastructure</w:t>
            </w:r>
          </w:p>
        </w:tc>
        <w:tc>
          <w:tcPr>
            <w:tcW w:w="1926" w:type="dxa"/>
          </w:tcPr>
          <w:p w14:paraId="5C9C63D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0EDE0850" w14:textId="77777777" w:rsidTr="6EE14823">
        <w:trPr>
          <w:cantSplit/>
        </w:trPr>
        <w:tc>
          <w:tcPr>
            <w:tcW w:w="580" w:type="dxa"/>
          </w:tcPr>
          <w:p w14:paraId="68FE6197" w14:textId="408CC7F1" w:rsidR="00076739" w:rsidRPr="0041544A" w:rsidRDefault="000B7ECE" w:rsidP="54FDEEE5">
            <w:pPr>
              <w:spacing w:line="276" w:lineRule="auto"/>
              <w:jc w:val="both"/>
              <w:rPr>
                <w:rFonts w:eastAsia="Calibri"/>
                <w:sz w:val="20"/>
                <w:szCs w:val="20"/>
              </w:rPr>
            </w:pPr>
            <w:r w:rsidRPr="30C7FF53">
              <w:rPr>
                <w:rFonts w:eastAsia="Calibri"/>
                <w:sz w:val="20"/>
                <w:szCs w:val="20"/>
              </w:rPr>
              <w:t>7</w:t>
            </w:r>
            <w:r w:rsidR="2FEF0B20" w:rsidRPr="30C7FF53">
              <w:rPr>
                <w:rFonts w:eastAsia="Calibri"/>
                <w:sz w:val="20"/>
                <w:szCs w:val="20"/>
              </w:rPr>
              <w:t>8</w:t>
            </w:r>
          </w:p>
        </w:tc>
        <w:tc>
          <w:tcPr>
            <w:tcW w:w="1665" w:type="dxa"/>
          </w:tcPr>
          <w:p w14:paraId="01F2BDF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Mountain Plains Equity</w:t>
            </w:r>
          </w:p>
        </w:tc>
        <w:tc>
          <w:tcPr>
            <w:tcW w:w="1350" w:type="dxa"/>
          </w:tcPr>
          <w:p w14:paraId="586F6E7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Business leaders</w:t>
            </w:r>
          </w:p>
        </w:tc>
        <w:tc>
          <w:tcPr>
            <w:tcW w:w="4140" w:type="dxa"/>
          </w:tcPr>
          <w:p w14:paraId="45EDF07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Homelessness Strategy; Non-Homeless Special Needs; HOPWA Strategy; Market Analysis; Economic Development; Lead-Based Paint Strategy</w:t>
            </w:r>
          </w:p>
        </w:tc>
        <w:tc>
          <w:tcPr>
            <w:tcW w:w="1926" w:type="dxa"/>
          </w:tcPr>
          <w:p w14:paraId="542E4A1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r w:rsidRPr="00755945">
              <w:rPr>
                <w:rFonts w:eastAsia="Calibri" w:cstheme="minorHAnsi"/>
                <w:sz w:val="20"/>
                <w:szCs w:val="20"/>
              </w:rPr>
              <w:t>participated as public repository</w:t>
            </w:r>
          </w:p>
        </w:tc>
      </w:tr>
      <w:tr w:rsidR="00637995" w:rsidRPr="0041544A" w14:paraId="3DE42CC1" w14:textId="77777777" w:rsidTr="6EE14823">
        <w:trPr>
          <w:cantSplit/>
        </w:trPr>
        <w:tc>
          <w:tcPr>
            <w:tcW w:w="580" w:type="dxa"/>
          </w:tcPr>
          <w:p w14:paraId="76F1AD5E" w14:textId="7BFE5F69" w:rsidR="00076739" w:rsidRPr="0041544A" w:rsidRDefault="000B7ECE" w:rsidP="54FDEEE5">
            <w:pPr>
              <w:spacing w:line="276" w:lineRule="auto"/>
              <w:jc w:val="both"/>
              <w:rPr>
                <w:rFonts w:eastAsia="Calibri"/>
                <w:sz w:val="20"/>
                <w:szCs w:val="20"/>
              </w:rPr>
            </w:pPr>
            <w:r w:rsidRPr="30C7FF53">
              <w:rPr>
                <w:rFonts w:eastAsia="Calibri"/>
                <w:sz w:val="20"/>
                <w:szCs w:val="20"/>
              </w:rPr>
              <w:t>7</w:t>
            </w:r>
            <w:r w:rsidR="0DA0D43F" w:rsidRPr="30C7FF53">
              <w:rPr>
                <w:rFonts w:eastAsia="Calibri"/>
                <w:sz w:val="20"/>
                <w:szCs w:val="20"/>
              </w:rPr>
              <w:t>9</w:t>
            </w:r>
          </w:p>
        </w:tc>
        <w:tc>
          <w:tcPr>
            <w:tcW w:w="1665" w:type="dxa"/>
          </w:tcPr>
          <w:p w14:paraId="3094D3D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Murtagh Municipal Engineering</w:t>
            </w:r>
          </w:p>
        </w:tc>
        <w:tc>
          <w:tcPr>
            <w:tcW w:w="1350" w:type="dxa"/>
          </w:tcPr>
          <w:p w14:paraId="589030D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Business leaders</w:t>
            </w:r>
          </w:p>
        </w:tc>
        <w:tc>
          <w:tcPr>
            <w:tcW w:w="4140" w:type="dxa"/>
          </w:tcPr>
          <w:p w14:paraId="2EAE1EA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Non-Homeless Special Needs; Market Analysis; Economic Development; Other – Infrastructure </w:t>
            </w:r>
          </w:p>
        </w:tc>
        <w:tc>
          <w:tcPr>
            <w:tcW w:w="1926" w:type="dxa"/>
          </w:tcPr>
          <w:p w14:paraId="68DB3DF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7057EBE6" w14:textId="77777777" w:rsidTr="6EE14823">
        <w:trPr>
          <w:cantSplit/>
        </w:trPr>
        <w:tc>
          <w:tcPr>
            <w:tcW w:w="580" w:type="dxa"/>
          </w:tcPr>
          <w:p w14:paraId="7595B8A9" w14:textId="6F6D4C99" w:rsidR="00076739" w:rsidRPr="0041544A" w:rsidRDefault="6686ED62" w:rsidP="54FDEEE5">
            <w:pPr>
              <w:spacing w:line="276" w:lineRule="auto"/>
              <w:jc w:val="both"/>
              <w:rPr>
                <w:rFonts w:eastAsia="Calibri"/>
                <w:sz w:val="20"/>
                <w:szCs w:val="20"/>
              </w:rPr>
            </w:pPr>
            <w:r w:rsidRPr="30C7FF53">
              <w:rPr>
                <w:rFonts w:eastAsia="Calibri"/>
                <w:sz w:val="20"/>
                <w:szCs w:val="20"/>
              </w:rPr>
              <w:t>80</w:t>
            </w:r>
          </w:p>
        </w:tc>
        <w:tc>
          <w:tcPr>
            <w:tcW w:w="1665" w:type="dxa"/>
          </w:tcPr>
          <w:p w14:paraId="0BDA0F5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NeighborWorks Great Falls</w:t>
            </w:r>
          </w:p>
        </w:tc>
        <w:tc>
          <w:tcPr>
            <w:tcW w:w="1350" w:type="dxa"/>
          </w:tcPr>
          <w:p w14:paraId="478BAF29" w14:textId="702D6E81" w:rsidR="00076739" w:rsidRPr="0041544A" w:rsidRDefault="007A037D" w:rsidP="00076739">
            <w:pPr>
              <w:spacing w:line="276" w:lineRule="auto"/>
              <w:rPr>
                <w:rFonts w:eastAsia="Calibri" w:cstheme="minorHAnsi"/>
                <w:sz w:val="20"/>
                <w:szCs w:val="20"/>
              </w:rPr>
            </w:pPr>
            <w:r>
              <w:rPr>
                <w:rFonts w:eastAsia="Calibri" w:cstheme="minorHAnsi"/>
                <w:sz w:val="20"/>
                <w:szCs w:val="20"/>
              </w:rPr>
              <w:t>Regional organization</w:t>
            </w:r>
          </w:p>
        </w:tc>
        <w:tc>
          <w:tcPr>
            <w:tcW w:w="4140" w:type="dxa"/>
          </w:tcPr>
          <w:p w14:paraId="54CB8BF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Lead-Based Paint Strategy; Anti-Poverty Strategy</w:t>
            </w:r>
          </w:p>
        </w:tc>
        <w:tc>
          <w:tcPr>
            <w:tcW w:w="1926" w:type="dxa"/>
          </w:tcPr>
          <w:p w14:paraId="1FC554EE" w14:textId="08F55BCD"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r w:rsidR="006D1AD3">
              <w:rPr>
                <w:rFonts w:eastAsia="Calibri" w:cstheme="minorHAnsi"/>
                <w:sz w:val="20"/>
                <w:szCs w:val="20"/>
              </w:rPr>
              <w:t>; attended public hearing</w:t>
            </w:r>
          </w:p>
        </w:tc>
      </w:tr>
      <w:tr w:rsidR="00637995" w:rsidRPr="0041544A" w14:paraId="17A67EB1" w14:textId="77777777" w:rsidTr="6EE14823">
        <w:trPr>
          <w:cantSplit/>
        </w:trPr>
        <w:tc>
          <w:tcPr>
            <w:tcW w:w="580" w:type="dxa"/>
          </w:tcPr>
          <w:p w14:paraId="7801D4A8" w14:textId="185A67C6" w:rsidR="00076739" w:rsidRPr="0041544A" w:rsidRDefault="6D00878E" w:rsidP="54FDEEE5">
            <w:pPr>
              <w:spacing w:line="276" w:lineRule="auto"/>
              <w:jc w:val="both"/>
              <w:rPr>
                <w:rFonts w:eastAsia="Calibri"/>
                <w:sz w:val="20"/>
                <w:szCs w:val="20"/>
              </w:rPr>
            </w:pPr>
            <w:r w:rsidRPr="30C7FF53">
              <w:rPr>
                <w:rFonts w:eastAsia="Calibri"/>
                <w:sz w:val="20"/>
                <w:szCs w:val="20"/>
              </w:rPr>
              <w:t>81</w:t>
            </w:r>
          </w:p>
        </w:tc>
        <w:tc>
          <w:tcPr>
            <w:tcW w:w="1665" w:type="dxa"/>
          </w:tcPr>
          <w:p w14:paraId="794825D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NeighborWorks Montana</w:t>
            </w:r>
          </w:p>
        </w:tc>
        <w:tc>
          <w:tcPr>
            <w:tcW w:w="1350" w:type="dxa"/>
          </w:tcPr>
          <w:p w14:paraId="5FE0B033" w14:textId="71A4047A"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Regional </w:t>
            </w:r>
            <w:r w:rsidR="007A037D">
              <w:rPr>
                <w:rFonts w:eastAsia="Calibri" w:cstheme="minorHAnsi"/>
                <w:sz w:val="20"/>
                <w:szCs w:val="20"/>
              </w:rPr>
              <w:t>o</w:t>
            </w:r>
            <w:r w:rsidRPr="0041544A">
              <w:rPr>
                <w:rFonts w:eastAsia="Calibri" w:cstheme="minorHAnsi"/>
                <w:sz w:val="20"/>
                <w:szCs w:val="20"/>
              </w:rPr>
              <w:t>rganization</w:t>
            </w:r>
          </w:p>
        </w:tc>
        <w:tc>
          <w:tcPr>
            <w:tcW w:w="4140" w:type="dxa"/>
          </w:tcPr>
          <w:p w14:paraId="49D4818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787ABCB6" w14:textId="77D85080"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r w:rsidRPr="00A7431D">
              <w:rPr>
                <w:rFonts w:eastAsia="Calibri" w:cstheme="minorHAnsi"/>
                <w:sz w:val="20"/>
                <w:szCs w:val="20"/>
              </w:rPr>
              <w:t>participated as public repository</w:t>
            </w:r>
          </w:p>
        </w:tc>
      </w:tr>
      <w:tr w:rsidR="00637995" w:rsidRPr="0041544A" w14:paraId="42EC7FC1" w14:textId="77777777" w:rsidTr="6EE14823">
        <w:trPr>
          <w:cantSplit/>
        </w:trPr>
        <w:tc>
          <w:tcPr>
            <w:tcW w:w="580" w:type="dxa"/>
          </w:tcPr>
          <w:p w14:paraId="02581638" w14:textId="1EE84902" w:rsidR="00076739" w:rsidRPr="0041544A" w:rsidRDefault="5479ACA6" w:rsidP="54FDEEE5">
            <w:pPr>
              <w:spacing w:line="276" w:lineRule="auto"/>
              <w:jc w:val="both"/>
              <w:rPr>
                <w:rFonts w:eastAsia="Calibri"/>
                <w:sz w:val="20"/>
                <w:szCs w:val="20"/>
              </w:rPr>
            </w:pPr>
            <w:r w:rsidRPr="30C7FF53">
              <w:rPr>
                <w:rFonts w:eastAsia="Calibri"/>
                <w:sz w:val="20"/>
                <w:szCs w:val="20"/>
              </w:rPr>
              <w:lastRenderedPageBreak/>
              <w:t>8</w:t>
            </w:r>
            <w:r w:rsidR="6CED8DEE" w:rsidRPr="30C7FF53">
              <w:rPr>
                <w:rFonts w:eastAsia="Calibri"/>
                <w:sz w:val="20"/>
                <w:szCs w:val="20"/>
              </w:rPr>
              <w:t>2</w:t>
            </w:r>
          </w:p>
        </w:tc>
        <w:tc>
          <w:tcPr>
            <w:tcW w:w="1665" w:type="dxa"/>
          </w:tcPr>
          <w:p w14:paraId="0859185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North Central Independent Living Services</w:t>
            </w:r>
          </w:p>
        </w:tc>
        <w:tc>
          <w:tcPr>
            <w:tcW w:w="1350" w:type="dxa"/>
          </w:tcPr>
          <w:p w14:paraId="5D08A69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p w14:paraId="2FEAE00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Services – Persons with Disabilities</w:t>
            </w:r>
          </w:p>
        </w:tc>
        <w:tc>
          <w:tcPr>
            <w:tcW w:w="4140" w:type="dxa"/>
          </w:tcPr>
          <w:p w14:paraId="60A17BE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w:t>
            </w:r>
          </w:p>
        </w:tc>
        <w:tc>
          <w:tcPr>
            <w:tcW w:w="1926" w:type="dxa"/>
          </w:tcPr>
          <w:p w14:paraId="2E1A52F0" w14:textId="7B51051D"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r w:rsidRPr="00367DE5">
              <w:rPr>
                <w:rFonts w:eastAsia="Calibri" w:cstheme="minorHAnsi"/>
                <w:sz w:val="20"/>
                <w:szCs w:val="20"/>
              </w:rPr>
              <w:t>participated as public repository</w:t>
            </w:r>
            <w:r w:rsidR="006D1AD3">
              <w:rPr>
                <w:rFonts w:eastAsia="Calibri" w:cstheme="minorHAnsi"/>
                <w:sz w:val="20"/>
                <w:szCs w:val="20"/>
              </w:rPr>
              <w:t>; attended public hearing</w:t>
            </w:r>
          </w:p>
        </w:tc>
      </w:tr>
      <w:tr w:rsidR="00637995" w:rsidRPr="0041544A" w14:paraId="70F181AC" w14:textId="77777777" w:rsidTr="6EE14823">
        <w:trPr>
          <w:cantSplit/>
        </w:trPr>
        <w:tc>
          <w:tcPr>
            <w:tcW w:w="580" w:type="dxa"/>
          </w:tcPr>
          <w:p w14:paraId="77172E25" w14:textId="7AE10B9D" w:rsidR="00155B3C" w:rsidRDefault="5479ACA6" w:rsidP="54FDEEE5">
            <w:pPr>
              <w:spacing w:line="276" w:lineRule="auto"/>
              <w:jc w:val="both"/>
              <w:rPr>
                <w:rFonts w:eastAsia="Calibri"/>
                <w:sz w:val="20"/>
                <w:szCs w:val="20"/>
              </w:rPr>
            </w:pPr>
            <w:r w:rsidRPr="30C7FF53">
              <w:rPr>
                <w:rFonts w:eastAsia="Calibri"/>
                <w:sz w:val="20"/>
                <w:szCs w:val="20"/>
              </w:rPr>
              <w:t>8</w:t>
            </w:r>
            <w:r w:rsidR="5B1C001B" w:rsidRPr="30C7FF53">
              <w:rPr>
                <w:rFonts w:eastAsia="Calibri"/>
                <w:sz w:val="20"/>
                <w:szCs w:val="20"/>
              </w:rPr>
              <w:t>3</w:t>
            </w:r>
          </w:p>
        </w:tc>
        <w:tc>
          <w:tcPr>
            <w:tcW w:w="1665" w:type="dxa"/>
          </w:tcPr>
          <w:p w14:paraId="4F524A2F" w14:textId="7360220B" w:rsidR="00155B3C" w:rsidRPr="0041544A" w:rsidRDefault="00155B3C" w:rsidP="00155B3C">
            <w:pPr>
              <w:spacing w:line="276" w:lineRule="auto"/>
              <w:rPr>
                <w:rFonts w:eastAsia="Calibri" w:cstheme="minorHAnsi"/>
                <w:sz w:val="20"/>
                <w:szCs w:val="20"/>
              </w:rPr>
            </w:pPr>
            <w:r>
              <w:rPr>
                <w:rFonts w:eastAsia="Calibri" w:cstheme="minorHAnsi"/>
                <w:sz w:val="20"/>
                <w:szCs w:val="20"/>
              </w:rPr>
              <w:t>North Fork Development, LLC</w:t>
            </w:r>
          </w:p>
        </w:tc>
        <w:tc>
          <w:tcPr>
            <w:tcW w:w="1350" w:type="dxa"/>
          </w:tcPr>
          <w:p w14:paraId="22F4D9F2" w14:textId="61CD09E8" w:rsidR="00155B3C" w:rsidRPr="0041544A" w:rsidRDefault="007A037D" w:rsidP="00155B3C">
            <w:pPr>
              <w:spacing w:line="276" w:lineRule="auto"/>
              <w:rPr>
                <w:rFonts w:eastAsia="Calibri" w:cstheme="minorHAnsi"/>
                <w:sz w:val="20"/>
                <w:szCs w:val="20"/>
              </w:rPr>
            </w:pPr>
            <w:r>
              <w:rPr>
                <w:rFonts w:eastAsia="Calibri" w:cstheme="minorHAnsi"/>
                <w:sz w:val="20"/>
                <w:szCs w:val="20"/>
              </w:rPr>
              <w:t>Business leaders</w:t>
            </w:r>
          </w:p>
        </w:tc>
        <w:tc>
          <w:tcPr>
            <w:tcW w:w="4140" w:type="dxa"/>
          </w:tcPr>
          <w:p w14:paraId="2659EFD5" w14:textId="06C55720" w:rsidR="00155B3C" w:rsidRPr="0041544A" w:rsidRDefault="00155B3C" w:rsidP="00155B3C">
            <w:pPr>
              <w:spacing w:line="276" w:lineRule="auto"/>
              <w:rPr>
                <w:rFonts w:eastAsia="Calibri" w:cstheme="minorHAnsi"/>
                <w:sz w:val="20"/>
                <w:szCs w:val="20"/>
              </w:rPr>
            </w:pPr>
            <w:r>
              <w:rPr>
                <w:rFonts w:eastAsia="Calibri" w:cstheme="minorHAnsi"/>
                <w:sz w:val="20"/>
                <w:szCs w:val="20"/>
              </w:rPr>
              <w:t>Housing Needs Assessment; Homeless Needs – Chronically Homeless; Homeless Needs – Families with Children; Homelessness Needs – Veterans; Homelessness Needs – Unaccompanied Youth; Non-Homeless Special Needs</w:t>
            </w:r>
          </w:p>
        </w:tc>
        <w:tc>
          <w:tcPr>
            <w:tcW w:w="1926" w:type="dxa"/>
          </w:tcPr>
          <w:p w14:paraId="63528CD4" w14:textId="35C1DEE8" w:rsidR="00155B3C" w:rsidRPr="0041544A" w:rsidRDefault="00155B3C" w:rsidP="00155B3C">
            <w:pPr>
              <w:spacing w:line="276" w:lineRule="auto"/>
              <w:rPr>
                <w:rFonts w:eastAsia="Calibri" w:cstheme="minorHAnsi"/>
                <w:sz w:val="20"/>
                <w:szCs w:val="20"/>
              </w:rPr>
            </w:pPr>
            <w:r>
              <w:rPr>
                <w:rFonts w:eastAsia="Calibri" w:cstheme="minorHAnsi"/>
                <w:sz w:val="20"/>
                <w:szCs w:val="20"/>
              </w:rPr>
              <w:t>Attended public hearing</w:t>
            </w:r>
          </w:p>
        </w:tc>
      </w:tr>
      <w:tr w:rsidR="00637995" w:rsidRPr="0041544A" w14:paraId="07FB6C00" w14:textId="77777777" w:rsidTr="6EE14823">
        <w:trPr>
          <w:cantSplit/>
        </w:trPr>
        <w:tc>
          <w:tcPr>
            <w:tcW w:w="580" w:type="dxa"/>
          </w:tcPr>
          <w:p w14:paraId="43662DF8" w14:textId="671A5886" w:rsidR="00076739" w:rsidRPr="0041544A" w:rsidRDefault="000B7ECE" w:rsidP="54FDEEE5">
            <w:pPr>
              <w:spacing w:line="276" w:lineRule="auto"/>
              <w:jc w:val="both"/>
              <w:rPr>
                <w:rFonts w:eastAsia="Calibri"/>
                <w:sz w:val="20"/>
                <w:szCs w:val="20"/>
              </w:rPr>
            </w:pPr>
            <w:r w:rsidRPr="30C7FF53">
              <w:rPr>
                <w:rFonts w:eastAsia="Calibri"/>
                <w:sz w:val="20"/>
                <w:szCs w:val="20"/>
              </w:rPr>
              <w:t>8</w:t>
            </w:r>
            <w:r w:rsidR="0EC5A155" w:rsidRPr="30C7FF53">
              <w:rPr>
                <w:rFonts w:eastAsia="Calibri"/>
                <w:sz w:val="20"/>
                <w:szCs w:val="20"/>
              </w:rPr>
              <w:t>4</w:t>
            </w:r>
          </w:p>
        </w:tc>
        <w:tc>
          <w:tcPr>
            <w:tcW w:w="1665" w:type="dxa"/>
          </w:tcPr>
          <w:p w14:paraId="41FE6D6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Northern Cheyenne Housing Authority</w:t>
            </w:r>
          </w:p>
        </w:tc>
        <w:tc>
          <w:tcPr>
            <w:tcW w:w="1350" w:type="dxa"/>
          </w:tcPr>
          <w:p w14:paraId="58B8720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36FBF77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Non-Homeless Special Needs; HOPWA Strategy; Lead-Based Paint Strategy; Anti-Poverty Strategy</w:t>
            </w:r>
          </w:p>
        </w:tc>
        <w:tc>
          <w:tcPr>
            <w:tcW w:w="1926" w:type="dxa"/>
          </w:tcPr>
          <w:p w14:paraId="7B51B0E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5F9D061F" w14:textId="77777777" w:rsidTr="6EE14823">
        <w:trPr>
          <w:cantSplit/>
        </w:trPr>
        <w:tc>
          <w:tcPr>
            <w:tcW w:w="580" w:type="dxa"/>
          </w:tcPr>
          <w:p w14:paraId="536B01C2" w14:textId="66DF35B5" w:rsidR="00076739" w:rsidRPr="0041544A" w:rsidRDefault="000B7ECE" w:rsidP="54FDEEE5">
            <w:pPr>
              <w:spacing w:line="276" w:lineRule="auto"/>
              <w:jc w:val="both"/>
              <w:rPr>
                <w:rFonts w:eastAsia="Calibri"/>
                <w:sz w:val="20"/>
                <w:szCs w:val="20"/>
              </w:rPr>
            </w:pPr>
            <w:r w:rsidRPr="30C7FF53">
              <w:rPr>
                <w:rFonts w:eastAsia="Calibri"/>
                <w:sz w:val="20"/>
                <w:szCs w:val="20"/>
              </w:rPr>
              <w:t>8</w:t>
            </w:r>
            <w:r w:rsidR="05AF0F10" w:rsidRPr="30C7FF53">
              <w:rPr>
                <w:rFonts w:eastAsia="Calibri"/>
                <w:sz w:val="20"/>
                <w:szCs w:val="20"/>
              </w:rPr>
              <w:t>5</w:t>
            </w:r>
          </w:p>
        </w:tc>
        <w:tc>
          <w:tcPr>
            <w:tcW w:w="1665" w:type="dxa"/>
          </w:tcPr>
          <w:p w14:paraId="4B2F4D7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Open Aid Alliance &amp; Yellowstone AIDS Project</w:t>
            </w:r>
          </w:p>
        </w:tc>
        <w:tc>
          <w:tcPr>
            <w:tcW w:w="1350" w:type="dxa"/>
          </w:tcPr>
          <w:p w14:paraId="70BA92F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40A5AA75"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 Needs – Chronically Homeless; Homeless Needs – Families with Children; Homelessness Needs – Veterans; Homelessness Needs – Unaccompanied Youth; Homelessness Strategy; Non-Homeless Special Needs; HOPWA Strategy; Anti-Poverty Strategy</w:t>
            </w:r>
          </w:p>
        </w:tc>
        <w:tc>
          <w:tcPr>
            <w:tcW w:w="1926" w:type="dxa"/>
          </w:tcPr>
          <w:p w14:paraId="2E892D56" w14:textId="1D66888E"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70C05F65" w14:textId="77777777" w:rsidTr="6EE14823">
        <w:trPr>
          <w:cantSplit/>
        </w:trPr>
        <w:tc>
          <w:tcPr>
            <w:tcW w:w="580" w:type="dxa"/>
          </w:tcPr>
          <w:p w14:paraId="2600B0D9" w14:textId="1DD86251" w:rsidR="00076739" w:rsidRPr="0041544A" w:rsidRDefault="000B7ECE" w:rsidP="54FDEEE5">
            <w:pPr>
              <w:spacing w:line="276" w:lineRule="auto"/>
              <w:jc w:val="both"/>
              <w:rPr>
                <w:rFonts w:eastAsia="Calibri"/>
                <w:sz w:val="20"/>
                <w:szCs w:val="20"/>
              </w:rPr>
            </w:pPr>
            <w:r w:rsidRPr="30C7FF53">
              <w:rPr>
                <w:rFonts w:eastAsia="Calibri"/>
                <w:sz w:val="20"/>
                <w:szCs w:val="20"/>
              </w:rPr>
              <w:t>8</w:t>
            </w:r>
            <w:r w:rsidR="164E0F41" w:rsidRPr="30C7FF53">
              <w:rPr>
                <w:rFonts w:eastAsia="Calibri"/>
                <w:sz w:val="20"/>
                <w:szCs w:val="20"/>
              </w:rPr>
              <w:t>6</w:t>
            </w:r>
          </w:p>
        </w:tc>
        <w:tc>
          <w:tcPr>
            <w:tcW w:w="1665" w:type="dxa"/>
          </w:tcPr>
          <w:p w14:paraId="038D49A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Opportunities, Inc.</w:t>
            </w:r>
          </w:p>
        </w:tc>
        <w:tc>
          <w:tcPr>
            <w:tcW w:w="1350" w:type="dxa"/>
          </w:tcPr>
          <w:p w14:paraId="5E4F56D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24C2974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 Needs – Chronically Homeless; Homeless Needs – Families with Children; Homelessness Needs – Veterans; Homelessness Needs – Unaccompanied Youth; Homelessness Strategy; Non-Homeless Special Needs; HOPWA Strategy; Lead-Based Paint Strategy; Anti-Poverty Strategy</w:t>
            </w:r>
          </w:p>
        </w:tc>
        <w:tc>
          <w:tcPr>
            <w:tcW w:w="1926" w:type="dxa"/>
          </w:tcPr>
          <w:p w14:paraId="5831275F" w14:textId="77777777" w:rsidR="00076739" w:rsidRPr="0041544A" w:rsidRDefault="00076739" w:rsidP="00076739">
            <w:pPr>
              <w:spacing w:line="276" w:lineRule="auto"/>
              <w:rPr>
                <w:rFonts w:eastAsia="Calibri" w:cstheme="minorHAnsi"/>
                <w:sz w:val="20"/>
                <w:szCs w:val="20"/>
              </w:rPr>
            </w:pPr>
            <w:r w:rsidRPr="00755945">
              <w:rPr>
                <w:rFonts w:eastAsia="Calibri" w:cstheme="minorHAnsi"/>
                <w:sz w:val="20"/>
                <w:szCs w:val="20"/>
              </w:rPr>
              <w:t>Participated as public repository</w:t>
            </w:r>
          </w:p>
        </w:tc>
      </w:tr>
      <w:tr w:rsidR="00637995" w:rsidRPr="0041544A" w14:paraId="61993F36" w14:textId="77777777" w:rsidTr="6EE14823">
        <w:trPr>
          <w:cantSplit/>
        </w:trPr>
        <w:tc>
          <w:tcPr>
            <w:tcW w:w="580" w:type="dxa"/>
          </w:tcPr>
          <w:p w14:paraId="1F189783" w14:textId="5592F594" w:rsidR="00076739" w:rsidRPr="0041544A" w:rsidRDefault="000B7ECE" w:rsidP="54FDEEE5">
            <w:pPr>
              <w:spacing w:line="276" w:lineRule="auto"/>
              <w:jc w:val="both"/>
              <w:rPr>
                <w:rFonts w:eastAsia="Calibri"/>
                <w:sz w:val="20"/>
                <w:szCs w:val="20"/>
              </w:rPr>
            </w:pPr>
            <w:r w:rsidRPr="30C7FF53">
              <w:rPr>
                <w:rFonts w:eastAsia="Calibri"/>
                <w:sz w:val="20"/>
                <w:szCs w:val="20"/>
              </w:rPr>
              <w:t>8</w:t>
            </w:r>
            <w:r w:rsidR="68CF65E6" w:rsidRPr="30C7FF53">
              <w:rPr>
                <w:rFonts w:eastAsia="Calibri"/>
                <w:sz w:val="20"/>
                <w:szCs w:val="20"/>
              </w:rPr>
              <w:t>7</w:t>
            </w:r>
          </w:p>
        </w:tc>
        <w:tc>
          <w:tcPr>
            <w:tcW w:w="1665" w:type="dxa"/>
          </w:tcPr>
          <w:p w14:paraId="0D792CC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Poplar (City of) Housing Authority</w:t>
            </w:r>
          </w:p>
        </w:tc>
        <w:tc>
          <w:tcPr>
            <w:tcW w:w="1350" w:type="dxa"/>
          </w:tcPr>
          <w:p w14:paraId="7CB7538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200CA40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HOPWA Strategy; Lead-Based Paint Strategy</w:t>
            </w:r>
          </w:p>
        </w:tc>
        <w:tc>
          <w:tcPr>
            <w:tcW w:w="1926" w:type="dxa"/>
          </w:tcPr>
          <w:p w14:paraId="1FFDAB1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2B4C8577" w14:textId="77777777" w:rsidTr="6EE14823">
        <w:trPr>
          <w:cantSplit/>
        </w:trPr>
        <w:tc>
          <w:tcPr>
            <w:tcW w:w="580" w:type="dxa"/>
          </w:tcPr>
          <w:p w14:paraId="4F1ADAC0" w14:textId="36B94377" w:rsidR="00076739" w:rsidRPr="0041544A" w:rsidRDefault="000B7ECE" w:rsidP="54FDEEE5">
            <w:pPr>
              <w:spacing w:line="276" w:lineRule="auto"/>
              <w:jc w:val="both"/>
              <w:rPr>
                <w:rFonts w:eastAsia="Calibri"/>
                <w:sz w:val="20"/>
                <w:szCs w:val="20"/>
              </w:rPr>
            </w:pPr>
            <w:r w:rsidRPr="30C7FF53">
              <w:rPr>
                <w:rFonts w:eastAsia="Calibri"/>
                <w:sz w:val="20"/>
                <w:szCs w:val="20"/>
              </w:rPr>
              <w:t>8</w:t>
            </w:r>
            <w:r w:rsidR="49BC564A" w:rsidRPr="30C7FF53">
              <w:rPr>
                <w:rFonts w:eastAsia="Calibri"/>
                <w:sz w:val="20"/>
                <w:szCs w:val="20"/>
              </w:rPr>
              <w:t>8</w:t>
            </w:r>
          </w:p>
        </w:tc>
        <w:tc>
          <w:tcPr>
            <w:tcW w:w="1665" w:type="dxa"/>
          </w:tcPr>
          <w:p w14:paraId="5446D350" w14:textId="77777777" w:rsidR="00076739" w:rsidRPr="0041544A" w:rsidRDefault="00076739" w:rsidP="00076739">
            <w:pPr>
              <w:spacing w:line="276" w:lineRule="auto"/>
              <w:rPr>
                <w:rFonts w:eastAsia="Calibri" w:cstheme="minorHAnsi"/>
                <w:sz w:val="20"/>
                <w:szCs w:val="20"/>
              </w:rPr>
            </w:pPr>
            <w:proofErr w:type="spellStart"/>
            <w:r w:rsidRPr="0041544A">
              <w:rPr>
                <w:rFonts w:eastAsia="Calibri" w:cstheme="minorHAnsi"/>
                <w:sz w:val="20"/>
                <w:szCs w:val="20"/>
              </w:rPr>
              <w:t>Prospera</w:t>
            </w:r>
            <w:proofErr w:type="spellEnd"/>
            <w:r w:rsidRPr="0041544A">
              <w:rPr>
                <w:rFonts w:eastAsia="Calibri" w:cstheme="minorHAnsi"/>
                <w:sz w:val="20"/>
                <w:szCs w:val="20"/>
              </w:rPr>
              <w:t xml:space="preserve"> Business Network</w:t>
            </w:r>
          </w:p>
        </w:tc>
        <w:tc>
          <w:tcPr>
            <w:tcW w:w="1350" w:type="dxa"/>
          </w:tcPr>
          <w:p w14:paraId="3C257C8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05281AE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Non-Homeless Special Needs; Market Analysis; Economic Development; Lead-Based Paint Strategy; Anti-Poverty Strategy; Other – Infrastructure</w:t>
            </w:r>
          </w:p>
        </w:tc>
        <w:tc>
          <w:tcPr>
            <w:tcW w:w="1926" w:type="dxa"/>
          </w:tcPr>
          <w:p w14:paraId="6E9D803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1FB31BBA" w14:textId="77777777" w:rsidTr="6EE14823">
        <w:trPr>
          <w:cantSplit/>
        </w:trPr>
        <w:tc>
          <w:tcPr>
            <w:tcW w:w="580" w:type="dxa"/>
          </w:tcPr>
          <w:p w14:paraId="31A8E4CC" w14:textId="004FC162" w:rsidR="00076739" w:rsidRPr="0041544A" w:rsidRDefault="000B7ECE" w:rsidP="54FDEEE5">
            <w:pPr>
              <w:spacing w:line="276" w:lineRule="auto"/>
              <w:jc w:val="both"/>
              <w:rPr>
                <w:rFonts w:eastAsia="Calibri"/>
                <w:sz w:val="20"/>
                <w:szCs w:val="20"/>
              </w:rPr>
            </w:pPr>
            <w:r w:rsidRPr="30C7FF53">
              <w:rPr>
                <w:rFonts w:eastAsia="Calibri"/>
                <w:sz w:val="20"/>
                <w:szCs w:val="20"/>
              </w:rPr>
              <w:lastRenderedPageBreak/>
              <w:t>8</w:t>
            </w:r>
            <w:r w:rsidR="5617FAEF" w:rsidRPr="30C7FF53">
              <w:rPr>
                <w:rFonts w:eastAsia="Calibri"/>
                <w:sz w:val="20"/>
                <w:szCs w:val="20"/>
              </w:rPr>
              <w:t>9</w:t>
            </w:r>
          </w:p>
        </w:tc>
        <w:tc>
          <w:tcPr>
            <w:tcW w:w="1665" w:type="dxa"/>
          </w:tcPr>
          <w:p w14:paraId="375E334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Ravalli County Economic Development </w:t>
            </w:r>
            <w:r>
              <w:rPr>
                <w:rFonts w:eastAsia="Calibri" w:cstheme="minorHAnsi"/>
                <w:sz w:val="20"/>
                <w:szCs w:val="20"/>
              </w:rPr>
              <w:t xml:space="preserve">Authority </w:t>
            </w:r>
          </w:p>
        </w:tc>
        <w:tc>
          <w:tcPr>
            <w:tcW w:w="1350" w:type="dxa"/>
          </w:tcPr>
          <w:p w14:paraId="33E254C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0CDC422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78E2611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3F0A7A59" w14:textId="77777777" w:rsidTr="6EE14823">
        <w:trPr>
          <w:cantSplit/>
        </w:trPr>
        <w:tc>
          <w:tcPr>
            <w:tcW w:w="580" w:type="dxa"/>
          </w:tcPr>
          <w:p w14:paraId="0BB47C2A" w14:textId="06F0A72F" w:rsidR="00076739" w:rsidRPr="0041544A" w:rsidRDefault="088E41E1" w:rsidP="54FDEEE5">
            <w:pPr>
              <w:spacing w:line="276" w:lineRule="auto"/>
              <w:jc w:val="both"/>
              <w:rPr>
                <w:rFonts w:eastAsia="Calibri"/>
                <w:sz w:val="20"/>
                <w:szCs w:val="20"/>
              </w:rPr>
            </w:pPr>
            <w:r w:rsidRPr="30C7FF53">
              <w:rPr>
                <w:rFonts w:eastAsia="Calibri"/>
                <w:sz w:val="20"/>
                <w:szCs w:val="20"/>
              </w:rPr>
              <w:t>90</w:t>
            </w:r>
          </w:p>
        </w:tc>
        <w:tc>
          <w:tcPr>
            <w:tcW w:w="1665" w:type="dxa"/>
          </w:tcPr>
          <w:p w14:paraId="260C201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Richland Economic Development Corporation</w:t>
            </w:r>
          </w:p>
        </w:tc>
        <w:tc>
          <w:tcPr>
            <w:tcW w:w="1350" w:type="dxa"/>
          </w:tcPr>
          <w:p w14:paraId="3A37DB1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0BDDA95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51B59B0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4D8E3CB2" w14:textId="77777777" w:rsidTr="6EE14823">
        <w:trPr>
          <w:cantSplit/>
        </w:trPr>
        <w:tc>
          <w:tcPr>
            <w:tcW w:w="580" w:type="dxa"/>
          </w:tcPr>
          <w:p w14:paraId="10047164" w14:textId="443E1F9D" w:rsidR="00076739" w:rsidRPr="0041544A" w:rsidRDefault="66D0A7DF" w:rsidP="54FDEEE5">
            <w:pPr>
              <w:spacing w:line="276" w:lineRule="auto"/>
              <w:jc w:val="both"/>
              <w:rPr>
                <w:rFonts w:eastAsia="Calibri"/>
                <w:sz w:val="20"/>
                <w:szCs w:val="20"/>
              </w:rPr>
            </w:pPr>
            <w:r w:rsidRPr="30C7FF53">
              <w:rPr>
                <w:rFonts w:eastAsia="Calibri"/>
                <w:sz w:val="20"/>
                <w:szCs w:val="20"/>
              </w:rPr>
              <w:t>91</w:t>
            </w:r>
          </w:p>
        </w:tc>
        <w:tc>
          <w:tcPr>
            <w:tcW w:w="1665" w:type="dxa"/>
          </w:tcPr>
          <w:p w14:paraId="157EC0A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Richland Housing Authority</w:t>
            </w:r>
          </w:p>
        </w:tc>
        <w:tc>
          <w:tcPr>
            <w:tcW w:w="1350" w:type="dxa"/>
          </w:tcPr>
          <w:p w14:paraId="3AB095E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2373F90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HOPWA Strategy; Lead-Based Paint Strategy</w:t>
            </w:r>
          </w:p>
        </w:tc>
        <w:tc>
          <w:tcPr>
            <w:tcW w:w="1926" w:type="dxa"/>
          </w:tcPr>
          <w:p w14:paraId="3325D5F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3D11285D" w14:textId="77777777" w:rsidTr="6EE14823">
        <w:trPr>
          <w:cantSplit/>
        </w:trPr>
        <w:tc>
          <w:tcPr>
            <w:tcW w:w="580" w:type="dxa"/>
          </w:tcPr>
          <w:p w14:paraId="30D376BD" w14:textId="328E8C0C" w:rsidR="00076739" w:rsidRPr="0041544A" w:rsidRDefault="5479ACA6" w:rsidP="54FDEEE5">
            <w:pPr>
              <w:spacing w:line="276" w:lineRule="auto"/>
              <w:jc w:val="both"/>
              <w:rPr>
                <w:rFonts w:eastAsia="Calibri"/>
                <w:sz w:val="20"/>
                <w:szCs w:val="20"/>
              </w:rPr>
            </w:pPr>
            <w:r w:rsidRPr="30C7FF53">
              <w:rPr>
                <w:rFonts w:eastAsia="Calibri"/>
                <w:sz w:val="20"/>
                <w:szCs w:val="20"/>
              </w:rPr>
              <w:t>9</w:t>
            </w:r>
            <w:r w:rsidR="0C29C255" w:rsidRPr="30C7FF53">
              <w:rPr>
                <w:rFonts w:eastAsia="Calibri"/>
                <w:sz w:val="20"/>
                <w:szCs w:val="20"/>
              </w:rPr>
              <w:t>2</w:t>
            </w:r>
          </w:p>
        </w:tc>
        <w:tc>
          <w:tcPr>
            <w:tcW w:w="1665" w:type="dxa"/>
          </w:tcPr>
          <w:p w14:paraId="3B7F0B8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Rocky Mountain Development Council</w:t>
            </w:r>
          </w:p>
        </w:tc>
        <w:tc>
          <w:tcPr>
            <w:tcW w:w="1350" w:type="dxa"/>
          </w:tcPr>
          <w:p w14:paraId="13EAE05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34AE15D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 Needs – Chronically Homeless; Homeless Needs – Families with Children; Homelessness Needs – Veterans; Homelessness Needs – Unaccompanied Youth; Homelessness Strategy; Non-Homeless Special Needs; HOPWA Strategy; Lead-Based Paint Strategy; Anti-Poverty Strategy</w:t>
            </w:r>
          </w:p>
        </w:tc>
        <w:tc>
          <w:tcPr>
            <w:tcW w:w="1926" w:type="dxa"/>
          </w:tcPr>
          <w:p w14:paraId="1588D2F1" w14:textId="77777777" w:rsidR="00076739" w:rsidRPr="0041544A" w:rsidRDefault="00076739" w:rsidP="00076739">
            <w:pPr>
              <w:spacing w:line="276" w:lineRule="auto"/>
              <w:rPr>
                <w:rFonts w:eastAsia="Calibri" w:cstheme="minorHAnsi"/>
                <w:sz w:val="20"/>
                <w:szCs w:val="20"/>
              </w:rPr>
            </w:pPr>
            <w:r w:rsidRPr="00352AB6">
              <w:rPr>
                <w:rFonts w:eastAsia="Calibri" w:cstheme="minorHAnsi"/>
                <w:sz w:val="20"/>
                <w:szCs w:val="20"/>
              </w:rPr>
              <w:t>Participated as public repository</w:t>
            </w:r>
          </w:p>
        </w:tc>
      </w:tr>
      <w:tr w:rsidR="00637995" w:rsidRPr="0041544A" w14:paraId="3B84F76C" w14:textId="77777777" w:rsidTr="6EE14823">
        <w:trPr>
          <w:cantSplit/>
          <w:trHeight w:val="278"/>
        </w:trPr>
        <w:tc>
          <w:tcPr>
            <w:tcW w:w="580" w:type="dxa"/>
          </w:tcPr>
          <w:p w14:paraId="56465632" w14:textId="7C375164" w:rsidR="00076739" w:rsidRPr="0041544A" w:rsidRDefault="5479ACA6" w:rsidP="54FDEEE5">
            <w:pPr>
              <w:spacing w:line="276" w:lineRule="auto"/>
              <w:jc w:val="both"/>
              <w:rPr>
                <w:rFonts w:eastAsia="Calibri"/>
                <w:sz w:val="20"/>
                <w:szCs w:val="20"/>
              </w:rPr>
            </w:pPr>
            <w:r w:rsidRPr="30C7FF53">
              <w:rPr>
                <w:rFonts w:eastAsia="Calibri"/>
                <w:sz w:val="20"/>
                <w:szCs w:val="20"/>
              </w:rPr>
              <w:t>9</w:t>
            </w:r>
            <w:r w:rsidR="791CE82E" w:rsidRPr="30C7FF53">
              <w:rPr>
                <w:rFonts w:eastAsia="Calibri"/>
                <w:sz w:val="20"/>
                <w:szCs w:val="20"/>
              </w:rPr>
              <w:t>3</w:t>
            </w:r>
          </w:p>
        </w:tc>
        <w:tc>
          <w:tcPr>
            <w:tcW w:w="1665" w:type="dxa"/>
          </w:tcPr>
          <w:p w14:paraId="636590E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Ronan Housing Authority</w:t>
            </w:r>
          </w:p>
        </w:tc>
        <w:tc>
          <w:tcPr>
            <w:tcW w:w="1350" w:type="dxa"/>
          </w:tcPr>
          <w:p w14:paraId="4A74FED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0560F01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HOPWA Strategy; Lead-Based Paint Strategy</w:t>
            </w:r>
          </w:p>
        </w:tc>
        <w:tc>
          <w:tcPr>
            <w:tcW w:w="1926" w:type="dxa"/>
          </w:tcPr>
          <w:p w14:paraId="72E7A3D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29EA841C" w14:textId="77777777" w:rsidTr="6EE14823">
        <w:trPr>
          <w:cantSplit/>
        </w:trPr>
        <w:tc>
          <w:tcPr>
            <w:tcW w:w="580" w:type="dxa"/>
          </w:tcPr>
          <w:p w14:paraId="7714CA5D" w14:textId="149F056F" w:rsidR="00076739" w:rsidRPr="0041544A" w:rsidRDefault="000B7ECE" w:rsidP="54FDEEE5">
            <w:pPr>
              <w:spacing w:line="276" w:lineRule="auto"/>
              <w:jc w:val="both"/>
              <w:rPr>
                <w:rFonts w:eastAsia="Calibri"/>
                <w:sz w:val="20"/>
                <w:szCs w:val="20"/>
              </w:rPr>
            </w:pPr>
            <w:r w:rsidRPr="30C7FF53">
              <w:rPr>
                <w:rFonts w:eastAsia="Calibri"/>
                <w:sz w:val="20"/>
                <w:szCs w:val="20"/>
              </w:rPr>
              <w:t>9</w:t>
            </w:r>
            <w:r w:rsidR="0387DE0A" w:rsidRPr="30C7FF53">
              <w:rPr>
                <w:rFonts w:eastAsia="Calibri"/>
                <w:sz w:val="20"/>
                <w:szCs w:val="20"/>
              </w:rPr>
              <w:t>4</w:t>
            </w:r>
          </w:p>
        </w:tc>
        <w:tc>
          <w:tcPr>
            <w:tcW w:w="1665" w:type="dxa"/>
          </w:tcPr>
          <w:p w14:paraId="73A453B5"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Rural Community Assistance Corporation</w:t>
            </w:r>
          </w:p>
        </w:tc>
        <w:tc>
          <w:tcPr>
            <w:tcW w:w="1350" w:type="dxa"/>
          </w:tcPr>
          <w:p w14:paraId="022C45C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777CF8D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Market Analysis; Economic Development; Anti-Poverty Strategy; Other – Infrastructure </w:t>
            </w:r>
          </w:p>
        </w:tc>
        <w:tc>
          <w:tcPr>
            <w:tcW w:w="1926" w:type="dxa"/>
          </w:tcPr>
          <w:p w14:paraId="106265DD"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4A75CE36" w14:textId="77777777" w:rsidTr="6EE14823">
        <w:trPr>
          <w:cantSplit/>
        </w:trPr>
        <w:tc>
          <w:tcPr>
            <w:tcW w:w="580" w:type="dxa"/>
          </w:tcPr>
          <w:p w14:paraId="24DB0230" w14:textId="3BDEA60A" w:rsidR="00076739" w:rsidRPr="0041544A" w:rsidRDefault="000B7ECE" w:rsidP="54FDEEE5">
            <w:pPr>
              <w:spacing w:line="276" w:lineRule="auto"/>
              <w:jc w:val="both"/>
              <w:rPr>
                <w:rFonts w:eastAsia="Calibri"/>
                <w:sz w:val="20"/>
                <w:szCs w:val="20"/>
              </w:rPr>
            </w:pPr>
            <w:r w:rsidRPr="30C7FF53">
              <w:rPr>
                <w:rFonts w:eastAsia="Calibri"/>
                <w:sz w:val="20"/>
                <w:szCs w:val="20"/>
              </w:rPr>
              <w:t>9</w:t>
            </w:r>
            <w:r w:rsidR="62ECB928" w:rsidRPr="30C7FF53">
              <w:rPr>
                <w:rFonts w:eastAsia="Calibri"/>
                <w:sz w:val="20"/>
                <w:szCs w:val="20"/>
              </w:rPr>
              <w:t>5</w:t>
            </w:r>
          </w:p>
        </w:tc>
        <w:tc>
          <w:tcPr>
            <w:tcW w:w="1665" w:type="dxa"/>
          </w:tcPr>
          <w:p w14:paraId="00EFA104" w14:textId="77777777" w:rsidR="00076739" w:rsidRDefault="00076739" w:rsidP="00076739">
            <w:pPr>
              <w:spacing w:line="276" w:lineRule="auto"/>
              <w:rPr>
                <w:rFonts w:eastAsia="Calibri" w:cstheme="minorHAnsi"/>
                <w:sz w:val="20"/>
                <w:szCs w:val="20"/>
              </w:rPr>
            </w:pPr>
            <w:r w:rsidRPr="000D7F65">
              <w:rPr>
                <w:rFonts w:eastAsia="Calibri" w:cstheme="minorHAnsi"/>
                <w:sz w:val="20"/>
                <w:szCs w:val="20"/>
              </w:rPr>
              <w:t>Rural Economic Designs</w:t>
            </w:r>
          </w:p>
        </w:tc>
        <w:tc>
          <w:tcPr>
            <w:tcW w:w="1350" w:type="dxa"/>
          </w:tcPr>
          <w:p w14:paraId="0400C510" w14:textId="77777777" w:rsidR="00076739" w:rsidRPr="0041544A" w:rsidRDefault="00076739" w:rsidP="00076739">
            <w:pPr>
              <w:spacing w:line="276" w:lineRule="auto"/>
              <w:rPr>
                <w:rFonts w:eastAsia="Calibri" w:cstheme="minorHAnsi"/>
                <w:sz w:val="20"/>
                <w:szCs w:val="20"/>
              </w:rPr>
            </w:pPr>
            <w:r w:rsidRPr="001C18DF">
              <w:rPr>
                <w:rFonts w:eastAsia="Calibri" w:cstheme="minorHAnsi"/>
                <w:sz w:val="20"/>
                <w:szCs w:val="20"/>
              </w:rPr>
              <w:t>Business leaders</w:t>
            </w:r>
          </w:p>
        </w:tc>
        <w:tc>
          <w:tcPr>
            <w:tcW w:w="4140" w:type="dxa"/>
          </w:tcPr>
          <w:p w14:paraId="2C94A98B" w14:textId="77777777" w:rsidR="00076739" w:rsidRPr="0041544A" w:rsidRDefault="00076739" w:rsidP="00076739">
            <w:pPr>
              <w:spacing w:line="276" w:lineRule="auto"/>
              <w:rPr>
                <w:rFonts w:eastAsia="Calibri" w:cstheme="minorHAnsi"/>
                <w:sz w:val="20"/>
                <w:szCs w:val="20"/>
              </w:rPr>
            </w:pPr>
            <w:r w:rsidRPr="001C18DF">
              <w:rPr>
                <w:rFonts w:eastAsia="Calibri" w:cstheme="minorHAnsi"/>
                <w:sz w:val="20"/>
                <w:szCs w:val="20"/>
              </w:rPr>
              <w:t>Housing Needs Assessment; Non-Homeless Special Needs</w:t>
            </w:r>
            <w:r>
              <w:rPr>
                <w:rFonts w:eastAsia="Calibri" w:cstheme="minorHAnsi"/>
                <w:sz w:val="20"/>
                <w:szCs w:val="20"/>
              </w:rPr>
              <w:t>;</w:t>
            </w:r>
            <w:r w:rsidRPr="001C18DF">
              <w:rPr>
                <w:rFonts w:eastAsia="Calibri" w:cstheme="minorHAnsi"/>
                <w:sz w:val="20"/>
                <w:szCs w:val="20"/>
              </w:rPr>
              <w:t xml:space="preserve"> Market Analysis; Economic Development; Other – Infrastructure</w:t>
            </w:r>
          </w:p>
        </w:tc>
        <w:tc>
          <w:tcPr>
            <w:tcW w:w="1926" w:type="dxa"/>
          </w:tcPr>
          <w:p w14:paraId="5E38F758" w14:textId="5FBD1563" w:rsidR="00076739" w:rsidRDefault="00E64A52" w:rsidP="00076739">
            <w:pPr>
              <w:spacing w:line="276" w:lineRule="auto"/>
              <w:rPr>
                <w:rFonts w:eastAsia="Calibri" w:cstheme="minorHAnsi"/>
                <w:sz w:val="20"/>
                <w:szCs w:val="20"/>
              </w:rPr>
            </w:pPr>
            <w:r>
              <w:rPr>
                <w:rFonts w:eastAsia="Calibri" w:cstheme="minorHAnsi"/>
                <w:sz w:val="20"/>
                <w:szCs w:val="20"/>
              </w:rPr>
              <w:t>Included on email listserv</w:t>
            </w:r>
          </w:p>
        </w:tc>
      </w:tr>
      <w:tr w:rsidR="00637995" w:rsidRPr="0041544A" w14:paraId="4FA5C54C" w14:textId="77777777" w:rsidTr="6EE14823">
        <w:trPr>
          <w:cantSplit/>
        </w:trPr>
        <w:tc>
          <w:tcPr>
            <w:tcW w:w="580" w:type="dxa"/>
          </w:tcPr>
          <w:p w14:paraId="2474CAAE" w14:textId="794EAAB5" w:rsidR="00076739" w:rsidRPr="0041544A" w:rsidRDefault="000B7ECE" w:rsidP="54FDEEE5">
            <w:pPr>
              <w:spacing w:line="276" w:lineRule="auto"/>
              <w:jc w:val="both"/>
              <w:rPr>
                <w:rFonts w:eastAsia="Calibri"/>
                <w:sz w:val="20"/>
                <w:szCs w:val="20"/>
              </w:rPr>
            </w:pPr>
            <w:r w:rsidRPr="30C7FF53">
              <w:rPr>
                <w:rFonts w:eastAsia="Calibri"/>
                <w:sz w:val="20"/>
                <w:szCs w:val="20"/>
              </w:rPr>
              <w:t>9</w:t>
            </w:r>
            <w:r w:rsidR="2201FC2A" w:rsidRPr="30C7FF53">
              <w:rPr>
                <w:rFonts w:eastAsia="Calibri"/>
                <w:sz w:val="20"/>
                <w:szCs w:val="20"/>
              </w:rPr>
              <w:t>6</w:t>
            </w:r>
          </w:p>
        </w:tc>
        <w:tc>
          <w:tcPr>
            <w:tcW w:w="1665" w:type="dxa"/>
          </w:tcPr>
          <w:p w14:paraId="2F903F9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Salish &amp; Kootenai Housing Authority</w:t>
            </w:r>
          </w:p>
        </w:tc>
        <w:tc>
          <w:tcPr>
            <w:tcW w:w="1350" w:type="dxa"/>
          </w:tcPr>
          <w:p w14:paraId="4BE5520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3789019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Non-Homeless Special Needs; HOPWA Strategy; Lead-Based Paint Strategy; Anti-Poverty Strategy</w:t>
            </w:r>
          </w:p>
        </w:tc>
        <w:tc>
          <w:tcPr>
            <w:tcW w:w="1926" w:type="dxa"/>
          </w:tcPr>
          <w:p w14:paraId="1E0F651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65D3228E" w14:textId="77777777" w:rsidTr="6EE14823">
        <w:trPr>
          <w:cantSplit/>
        </w:trPr>
        <w:tc>
          <w:tcPr>
            <w:tcW w:w="580" w:type="dxa"/>
          </w:tcPr>
          <w:p w14:paraId="258ED951" w14:textId="1E00C2E5" w:rsidR="00076739" w:rsidRPr="0041544A" w:rsidRDefault="000B7ECE" w:rsidP="54FDEEE5">
            <w:pPr>
              <w:spacing w:line="276" w:lineRule="auto"/>
              <w:jc w:val="both"/>
              <w:rPr>
                <w:rFonts w:eastAsia="Calibri"/>
                <w:sz w:val="20"/>
                <w:szCs w:val="20"/>
              </w:rPr>
            </w:pPr>
            <w:r w:rsidRPr="30C7FF53">
              <w:rPr>
                <w:rFonts w:eastAsia="Calibri"/>
                <w:sz w:val="20"/>
                <w:szCs w:val="20"/>
              </w:rPr>
              <w:lastRenderedPageBreak/>
              <w:t>9</w:t>
            </w:r>
            <w:r w:rsidR="210C5002" w:rsidRPr="30C7FF53">
              <w:rPr>
                <w:rFonts w:eastAsia="Calibri"/>
                <w:sz w:val="20"/>
                <w:szCs w:val="20"/>
              </w:rPr>
              <w:t>7</w:t>
            </w:r>
          </w:p>
        </w:tc>
        <w:tc>
          <w:tcPr>
            <w:tcW w:w="1665" w:type="dxa"/>
          </w:tcPr>
          <w:p w14:paraId="7433B0B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Snowy Mountain Development Corporation</w:t>
            </w:r>
          </w:p>
        </w:tc>
        <w:tc>
          <w:tcPr>
            <w:tcW w:w="1350" w:type="dxa"/>
          </w:tcPr>
          <w:p w14:paraId="7E0E864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0E43896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Non-Homeless Special Needs; Market Analysis; Economic Development; Lead-Based Paint Strategy; Anti-Poverty Strategy; Other – Infrastructure</w:t>
            </w:r>
          </w:p>
        </w:tc>
        <w:tc>
          <w:tcPr>
            <w:tcW w:w="1926" w:type="dxa"/>
          </w:tcPr>
          <w:p w14:paraId="4FFADBE8" w14:textId="09B028B5"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0CC8CA7F" w14:textId="77777777" w:rsidTr="6EE14823">
        <w:trPr>
          <w:cantSplit/>
        </w:trPr>
        <w:tc>
          <w:tcPr>
            <w:tcW w:w="580" w:type="dxa"/>
          </w:tcPr>
          <w:p w14:paraId="6FE1822A" w14:textId="773DEBCF" w:rsidR="00076739" w:rsidRPr="0041544A" w:rsidRDefault="000B7ECE" w:rsidP="54FDEEE5">
            <w:pPr>
              <w:spacing w:line="276" w:lineRule="auto"/>
              <w:jc w:val="both"/>
              <w:rPr>
                <w:rFonts w:eastAsia="Calibri"/>
                <w:sz w:val="20"/>
                <w:szCs w:val="20"/>
              </w:rPr>
            </w:pPr>
            <w:r w:rsidRPr="30C7FF53">
              <w:rPr>
                <w:rFonts w:eastAsia="Calibri"/>
                <w:sz w:val="20"/>
                <w:szCs w:val="20"/>
              </w:rPr>
              <w:t>9</w:t>
            </w:r>
            <w:r w:rsidR="4360804D" w:rsidRPr="30C7FF53">
              <w:rPr>
                <w:rFonts w:eastAsia="Calibri"/>
                <w:sz w:val="20"/>
                <w:szCs w:val="20"/>
              </w:rPr>
              <w:t>8</w:t>
            </w:r>
          </w:p>
        </w:tc>
        <w:tc>
          <w:tcPr>
            <w:tcW w:w="1665" w:type="dxa"/>
          </w:tcPr>
          <w:p w14:paraId="394B8AA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Southeastern Montana Development Corporation</w:t>
            </w:r>
          </w:p>
        </w:tc>
        <w:tc>
          <w:tcPr>
            <w:tcW w:w="1350" w:type="dxa"/>
          </w:tcPr>
          <w:p w14:paraId="2212289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2DACFEF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60BEA4E5" w14:textId="2BD79D09"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353307BC" w14:textId="77777777" w:rsidTr="6EE14823">
        <w:trPr>
          <w:cantSplit/>
        </w:trPr>
        <w:tc>
          <w:tcPr>
            <w:tcW w:w="580" w:type="dxa"/>
          </w:tcPr>
          <w:p w14:paraId="0E0D33CB" w14:textId="03AD8883" w:rsidR="00076739" w:rsidRPr="0041544A" w:rsidRDefault="000B7ECE" w:rsidP="54FDEEE5">
            <w:pPr>
              <w:spacing w:line="276" w:lineRule="auto"/>
              <w:jc w:val="both"/>
              <w:rPr>
                <w:rFonts w:eastAsia="Calibri"/>
                <w:sz w:val="20"/>
                <w:szCs w:val="20"/>
              </w:rPr>
            </w:pPr>
            <w:r w:rsidRPr="30C7FF53">
              <w:rPr>
                <w:rFonts w:eastAsia="Calibri"/>
                <w:sz w:val="20"/>
                <w:szCs w:val="20"/>
              </w:rPr>
              <w:t>9</w:t>
            </w:r>
            <w:r w:rsidR="03001980" w:rsidRPr="30C7FF53">
              <w:rPr>
                <w:rFonts w:eastAsia="Calibri"/>
                <w:sz w:val="20"/>
                <w:szCs w:val="20"/>
              </w:rPr>
              <w:t>9</w:t>
            </w:r>
          </w:p>
        </w:tc>
        <w:tc>
          <w:tcPr>
            <w:tcW w:w="1665" w:type="dxa"/>
          </w:tcPr>
          <w:p w14:paraId="2B88BB6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Stahly Engineering &amp; Associates</w:t>
            </w:r>
          </w:p>
        </w:tc>
        <w:tc>
          <w:tcPr>
            <w:tcW w:w="1350" w:type="dxa"/>
          </w:tcPr>
          <w:p w14:paraId="378B25C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Business leaders</w:t>
            </w:r>
          </w:p>
        </w:tc>
        <w:tc>
          <w:tcPr>
            <w:tcW w:w="4140" w:type="dxa"/>
          </w:tcPr>
          <w:p w14:paraId="703533A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Non-Homeless Special Needs; Market Analysis; Economic Development; Other – Infrastructure </w:t>
            </w:r>
          </w:p>
        </w:tc>
        <w:tc>
          <w:tcPr>
            <w:tcW w:w="1926" w:type="dxa"/>
          </w:tcPr>
          <w:p w14:paraId="440CAC19" w14:textId="42DCCE00"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6D98B48A" w14:textId="77777777" w:rsidTr="6EE14823">
        <w:trPr>
          <w:cantSplit/>
        </w:trPr>
        <w:tc>
          <w:tcPr>
            <w:tcW w:w="580" w:type="dxa"/>
          </w:tcPr>
          <w:p w14:paraId="01BC8A2C" w14:textId="019CFEF7" w:rsidR="00076739" w:rsidRPr="0041544A" w:rsidRDefault="1C6426E3" w:rsidP="54FDEEE5">
            <w:pPr>
              <w:spacing w:line="276" w:lineRule="auto"/>
              <w:jc w:val="both"/>
              <w:rPr>
                <w:rFonts w:eastAsia="Calibri"/>
                <w:sz w:val="20"/>
                <w:szCs w:val="20"/>
              </w:rPr>
            </w:pPr>
            <w:r w:rsidRPr="30C7FF53">
              <w:rPr>
                <w:rFonts w:eastAsia="Calibri"/>
                <w:sz w:val="20"/>
                <w:szCs w:val="20"/>
              </w:rPr>
              <w:t>100</w:t>
            </w:r>
          </w:p>
        </w:tc>
        <w:tc>
          <w:tcPr>
            <w:tcW w:w="1665" w:type="dxa"/>
          </w:tcPr>
          <w:p w14:paraId="390D696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State Bank of Townsend</w:t>
            </w:r>
          </w:p>
        </w:tc>
        <w:tc>
          <w:tcPr>
            <w:tcW w:w="1350" w:type="dxa"/>
          </w:tcPr>
          <w:p w14:paraId="5291E08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Business leaders</w:t>
            </w:r>
          </w:p>
        </w:tc>
        <w:tc>
          <w:tcPr>
            <w:tcW w:w="4140" w:type="dxa"/>
          </w:tcPr>
          <w:p w14:paraId="415F5D6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Market Analysis; Economic Development</w:t>
            </w:r>
          </w:p>
        </w:tc>
        <w:tc>
          <w:tcPr>
            <w:tcW w:w="1926" w:type="dxa"/>
          </w:tcPr>
          <w:p w14:paraId="02901C4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3F91461E" w14:textId="77777777" w:rsidTr="6EE14823">
        <w:trPr>
          <w:cantSplit/>
        </w:trPr>
        <w:tc>
          <w:tcPr>
            <w:tcW w:w="580" w:type="dxa"/>
          </w:tcPr>
          <w:p w14:paraId="1653048E" w14:textId="158AD261" w:rsidR="00076739" w:rsidRPr="0041544A" w:rsidRDefault="0609B40A" w:rsidP="54FDEEE5">
            <w:pPr>
              <w:spacing w:line="276" w:lineRule="auto"/>
              <w:jc w:val="both"/>
              <w:rPr>
                <w:rFonts w:eastAsia="Calibri"/>
                <w:sz w:val="20"/>
                <w:szCs w:val="20"/>
              </w:rPr>
            </w:pPr>
            <w:r w:rsidRPr="30C7FF53">
              <w:rPr>
                <w:rFonts w:eastAsia="Calibri"/>
                <w:sz w:val="20"/>
                <w:szCs w:val="20"/>
              </w:rPr>
              <w:t>101</w:t>
            </w:r>
          </w:p>
        </w:tc>
        <w:tc>
          <w:tcPr>
            <w:tcW w:w="1665" w:type="dxa"/>
          </w:tcPr>
          <w:p w14:paraId="09E26DB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Summit Housing Group</w:t>
            </w:r>
          </w:p>
        </w:tc>
        <w:tc>
          <w:tcPr>
            <w:tcW w:w="1350" w:type="dxa"/>
          </w:tcPr>
          <w:p w14:paraId="4E97CCD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Business leaders</w:t>
            </w:r>
          </w:p>
        </w:tc>
        <w:tc>
          <w:tcPr>
            <w:tcW w:w="4140" w:type="dxa"/>
          </w:tcPr>
          <w:p w14:paraId="30991E6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Homelessness Strategy; Non-Homeless Special Needs; HOPWA Strategy; Market Analysis; Economic Development; Lead-Based Paint Strategy</w:t>
            </w:r>
          </w:p>
        </w:tc>
        <w:tc>
          <w:tcPr>
            <w:tcW w:w="1926" w:type="dxa"/>
          </w:tcPr>
          <w:p w14:paraId="7D30434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2122991C" w14:textId="77777777" w:rsidTr="6EE14823">
        <w:trPr>
          <w:cantSplit/>
        </w:trPr>
        <w:tc>
          <w:tcPr>
            <w:tcW w:w="580" w:type="dxa"/>
          </w:tcPr>
          <w:p w14:paraId="433BD294" w14:textId="5306ACA6" w:rsidR="00076739" w:rsidRPr="0041544A" w:rsidRDefault="5479ACA6" w:rsidP="54FDEEE5">
            <w:pPr>
              <w:spacing w:line="276" w:lineRule="auto"/>
              <w:jc w:val="both"/>
              <w:rPr>
                <w:rFonts w:eastAsia="Calibri"/>
                <w:sz w:val="20"/>
                <w:szCs w:val="20"/>
              </w:rPr>
            </w:pPr>
            <w:r w:rsidRPr="30C7FF53">
              <w:rPr>
                <w:rFonts w:eastAsia="Calibri"/>
                <w:sz w:val="20"/>
                <w:szCs w:val="20"/>
              </w:rPr>
              <w:t>10</w:t>
            </w:r>
            <w:r w:rsidR="5281F256" w:rsidRPr="30C7FF53">
              <w:rPr>
                <w:rFonts w:eastAsia="Calibri"/>
                <w:sz w:val="20"/>
                <w:szCs w:val="20"/>
              </w:rPr>
              <w:t>2</w:t>
            </w:r>
          </w:p>
        </w:tc>
        <w:tc>
          <w:tcPr>
            <w:tcW w:w="1665" w:type="dxa"/>
          </w:tcPr>
          <w:p w14:paraId="690A3DE5"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Summit Independent Living Center</w:t>
            </w:r>
          </w:p>
        </w:tc>
        <w:tc>
          <w:tcPr>
            <w:tcW w:w="1350" w:type="dxa"/>
          </w:tcPr>
          <w:p w14:paraId="48F57AF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p w14:paraId="0C7C4555"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Services – Persons with Disabilities</w:t>
            </w:r>
          </w:p>
        </w:tc>
        <w:tc>
          <w:tcPr>
            <w:tcW w:w="4140" w:type="dxa"/>
          </w:tcPr>
          <w:p w14:paraId="167C864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w:t>
            </w:r>
          </w:p>
        </w:tc>
        <w:tc>
          <w:tcPr>
            <w:tcW w:w="1926" w:type="dxa"/>
          </w:tcPr>
          <w:p w14:paraId="42390932" w14:textId="01916BAF"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65132576" w14:textId="77777777" w:rsidTr="6EE14823">
        <w:trPr>
          <w:cantSplit/>
        </w:trPr>
        <w:tc>
          <w:tcPr>
            <w:tcW w:w="580" w:type="dxa"/>
          </w:tcPr>
          <w:p w14:paraId="475887C3" w14:textId="6001F647" w:rsidR="00076739" w:rsidRPr="0041544A" w:rsidRDefault="5479ACA6" w:rsidP="54FDEEE5">
            <w:pPr>
              <w:spacing w:line="276" w:lineRule="auto"/>
              <w:jc w:val="both"/>
              <w:rPr>
                <w:rFonts w:eastAsia="Calibri"/>
                <w:sz w:val="20"/>
                <w:szCs w:val="20"/>
              </w:rPr>
            </w:pPr>
            <w:r w:rsidRPr="30C7FF53">
              <w:rPr>
                <w:rFonts w:eastAsia="Calibri"/>
                <w:sz w:val="20"/>
                <w:szCs w:val="20"/>
              </w:rPr>
              <w:t>1</w:t>
            </w:r>
            <w:r w:rsidR="0DF1F840" w:rsidRPr="30C7FF53">
              <w:rPr>
                <w:rFonts w:eastAsia="Calibri"/>
                <w:sz w:val="20"/>
                <w:szCs w:val="20"/>
              </w:rPr>
              <w:t>0</w:t>
            </w:r>
            <w:r w:rsidR="2E584704" w:rsidRPr="30C7FF53">
              <w:rPr>
                <w:rFonts w:eastAsia="Calibri"/>
                <w:sz w:val="20"/>
                <w:szCs w:val="20"/>
              </w:rPr>
              <w:t>3</w:t>
            </w:r>
          </w:p>
        </w:tc>
        <w:tc>
          <w:tcPr>
            <w:tcW w:w="1665" w:type="dxa"/>
          </w:tcPr>
          <w:p w14:paraId="2A5D0D5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Sweetgrass Development</w:t>
            </w:r>
          </w:p>
        </w:tc>
        <w:tc>
          <w:tcPr>
            <w:tcW w:w="1350" w:type="dxa"/>
          </w:tcPr>
          <w:p w14:paraId="4ED5CA1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7AB6245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 </w:t>
            </w:r>
          </w:p>
        </w:tc>
        <w:tc>
          <w:tcPr>
            <w:tcW w:w="1926" w:type="dxa"/>
          </w:tcPr>
          <w:p w14:paraId="389C73C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35C0562D" w14:textId="77777777" w:rsidTr="6EE14823">
        <w:trPr>
          <w:cantSplit/>
        </w:trPr>
        <w:tc>
          <w:tcPr>
            <w:tcW w:w="580" w:type="dxa"/>
          </w:tcPr>
          <w:p w14:paraId="2A90FD3B" w14:textId="489E26D3" w:rsidR="00076739" w:rsidRPr="0041544A" w:rsidRDefault="00076739" w:rsidP="54FDEEE5">
            <w:pPr>
              <w:spacing w:line="276" w:lineRule="auto"/>
              <w:jc w:val="both"/>
              <w:rPr>
                <w:rFonts w:eastAsia="Calibri"/>
                <w:sz w:val="20"/>
                <w:szCs w:val="20"/>
              </w:rPr>
            </w:pPr>
            <w:r w:rsidRPr="30C7FF53">
              <w:rPr>
                <w:rFonts w:eastAsia="Calibri"/>
                <w:sz w:val="20"/>
                <w:szCs w:val="20"/>
              </w:rPr>
              <w:lastRenderedPageBreak/>
              <w:t>1</w:t>
            </w:r>
            <w:r w:rsidR="000B7ECE" w:rsidRPr="30C7FF53">
              <w:rPr>
                <w:rFonts w:eastAsia="Calibri"/>
                <w:sz w:val="20"/>
                <w:szCs w:val="20"/>
              </w:rPr>
              <w:t>0</w:t>
            </w:r>
            <w:r w:rsidR="70A7919C" w:rsidRPr="30C7FF53">
              <w:rPr>
                <w:rFonts w:eastAsia="Calibri"/>
                <w:sz w:val="20"/>
                <w:szCs w:val="20"/>
              </w:rPr>
              <w:t>4</w:t>
            </w:r>
          </w:p>
        </w:tc>
        <w:tc>
          <w:tcPr>
            <w:tcW w:w="1665" w:type="dxa"/>
          </w:tcPr>
          <w:p w14:paraId="174F805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Tamarack Properties Management Company</w:t>
            </w:r>
          </w:p>
        </w:tc>
        <w:tc>
          <w:tcPr>
            <w:tcW w:w="1350" w:type="dxa"/>
          </w:tcPr>
          <w:p w14:paraId="5FFBADD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Business leaders</w:t>
            </w:r>
          </w:p>
        </w:tc>
        <w:tc>
          <w:tcPr>
            <w:tcW w:w="4140" w:type="dxa"/>
          </w:tcPr>
          <w:p w14:paraId="55493DAA"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Homelessness Strategy; Non-Homeless Special Needs; HOPWA Strategy; Market Analysis; Economic Development; Lead-Based Paint Strategy</w:t>
            </w:r>
          </w:p>
        </w:tc>
        <w:tc>
          <w:tcPr>
            <w:tcW w:w="1926" w:type="dxa"/>
          </w:tcPr>
          <w:p w14:paraId="75CF88C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6C49FA67" w14:textId="77777777" w:rsidTr="6EE14823">
        <w:trPr>
          <w:cantSplit/>
        </w:trPr>
        <w:tc>
          <w:tcPr>
            <w:tcW w:w="580" w:type="dxa"/>
          </w:tcPr>
          <w:p w14:paraId="2EB6C242" w14:textId="74F06A4A" w:rsidR="00076739" w:rsidRPr="0041544A" w:rsidRDefault="00076739" w:rsidP="54FDEEE5">
            <w:pPr>
              <w:spacing w:line="276" w:lineRule="auto"/>
              <w:jc w:val="both"/>
              <w:rPr>
                <w:rFonts w:eastAsia="Calibri"/>
                <w:sz w:val="20"/>
                <w:szCs w:val="20"/>
              </w:rPr>
            </w:pPr>
            <w:r w:rsidRPr="30C7FF53">
              <w:rPr>
                <w:rFonts w:eastAsia="Calibri"/>
                <w:sz w:val="20"/>
                <w:szCs w:val="20"/>
              </w:rPr>
              <w:t>1</w:t>
            </w:r>
            <w:r w:rsidR="000B7ECE" w:rsidRPr="30C7FF53">
              <w:rPr>
                <w:rFonts w:eastAsia="Calibri"/>
                <w:sz w:val="20"/>
                <w:szCs w:val="20"/>
              </w:rPr>
              <w:t>0</w:t>
            </w:r>
            <w:r w:rsidR="007152B8" w:rsidRPr="30C7FF53">
              <w:rPr>
                <w:rFonts w:eastAsia="Calibri"/>
                <w:sz w:val="20"/>
                <w:szCs w:val="20"/>
              </w:rPr>
              <w:t>5</w:t>
            </w:r>
          </w:p>
        </w:tc>
        <w:tc>
          <w:tcPr>
            <w:tcW w:w="1665" w:type="dxa"/>
          </w:tcPr>
          <w:p w14:paraId="3447238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The Center for Children and Families</w:t>
            </w:r>
          </w:p>
        </w:tc>
        <w:tc>
          <w:tcPr>
            <w:tcW w:w="1350" w:type="dxa"/>
          </w:tcPr>
          <w:p w14:paraId="282A21A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Services – Children, Persons with Disabilities, Victims of Domestic Violence, Education, Victims; Child Welfare Agency</w:t>
            </w:r>
          </w:p>
        </w:tc>
        <w:tc>
          <w:tcPr>
            <w:tcW w:w="4140" w:type="dxa"/>
          </w:tcPr>
          <w:p w14:paraId="7359949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 Needs – Families with Children; Homelessness Needs – Unaccompanied Youth; Homelessness Strategy; Non-Homeless Special Needs; Market Analysis; Anti-Poverty Strategy</w:t>
            </w:r>
          </w:p>
        </w:tc>
        <w:tc>
          <w:tcPr>
            <w:tcW w:w="1926" w:type="dxa"/>
          </w:tcPr>
          <w:p w14:paraId="4EA6B3B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71F26A40" w14:textId="77777777" w:rsidTr="6EE14823">
        <w:trPr>
          <w:cantSplit/>
        </w:trPr>
        <w:tc>
          <w:tcPr>
            <w:tcW w:w="580" w:type="dxa"/>
          </w:tcPr>
          <w:p w14:paraId="6D1829B7" w14:textId="34B8FA1D" w:rsidR="00076739" w:rsidRPr="0041544A" w:rsidRDefault="00076739" w:rsidP="54FDEEE5">
            <w:pPr>
              <w:spacing w:line="276" w:lineRule="auto"/>
              <w:jc w:val="both"/>
              <w:rPr>
                <w:rFonts w:eastAsia="Calibri"/>
                <w:sz w:val="20"/>
                <w:szCs w:val="20"/>
              </w:rPr>
            </w:pPr>
            <w:r w:rsidRPr="30C7FF53">
              <w:rPr>
                <w:rFonts w:eastAsia="Calibri"/>
                <w:sz w:val="20"/>
                <w:szCs w:val="20"/>
              </w:rPr>
              <w:t>1</w:t>
            </w:r>
            <w:r w:rsidR="000B7ECE" w:rsidRPr="30C7FF53">
              <w:rPr>
                <w:rFonts w:eastAsia="Calibri"/>
                <w:sz w:val="20"/>
                <w:szCs w:val="20"/>
              </w:rPr>
              <w:t>0</w:t>
            </w:r>
            <w:r w:rsidR="02152256" w:rsidRPr="30C7FF53">
              <w:rPr>
                <w:rFonts w:eastAsia="Calibri"/>
                <w:sz w:val="20"/>
                <w:szCs w:val="20"/>
              </w:rPr>
              <w:t>6</w:t>
            </w:r>
          </w:p>
        </w:tc>
        <w:tc>
          <w:tcPr>
            <w:tcW w:w="1665" w:type="dxa"/>
          </w:tcPr>
          <w:p w14:paraId="53054BB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Town of Ekalaka</w:t>
            </w:r>
          </w:p>
        </w:tc>
        <w:tc>
          <w:tcPr>
            <w:tcW w:w="1350" w:type="dxa"/>
          </w:tcPr>
          <w:p w14:paraId="0D3582A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Local</w:t>
            </w:r>
          </w:p>
        </w:tc>
        <w:tc>
          <w:tcPr>
            <w:tcW w:w="4140" w:type="dxa"/>
          </w:tcPr>
          <w:p w14:paraId="58E2AAE5"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w:t>
            </w:r>
            <w:r>
              <w:rPr>
                <w:rFonts w:eastAsia="Calibri" w:cstheme="minorHAnsi"/>
                <w:sz w:val="20"/>
                <w:szCs w:val="20"/>
              </w:rPr>
              <w:t>trategy; Other – Infrastructure</w:t>
            </w:r>
          </w:p>
        </w:tc>
        <w:tc>
          <w:tcPr>
            <w:tcW w:w="1926" w:type="dxa"/>
          </w:tcPr>
          <w:p w14:paraId="0AC2E5B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7D000C2B" w14:textId="77777777" w:rsidTr="6EE14823">
        <w:trPr>
          <w:cantSplit/>
        </w:trPr>
        <w:tc>
          <w:tcPr>
            <w:tcW w:w="580" w:type="dxa"/>
          </w:tcPr>
          <w:p w14:paraId="7BE306DE" w14:textId="5391157F" w:rsidR="00076739" w:rsidRPr="0041544A" w:rsidRDefault="00076739" w:rsidP="54FDEEE5">
            <w:pPr>
              <w:spacing w:line="276" w:lineRule="auto"/>
              <w:jc w:val="both"/>
              <w:rPr>
                <w:rFonts w:eastAsia="Calibri"/>
                <w:sz w:val="20"/>
                <w:szCs w:val="20"/>
              </w:rPr>
            </w:pPr>
            <w:r w:rsidRPr="30C7FF53">
              <w:rPr>
                <w:rFonts w:eastAsia="Calibri"/>
                <w:sz w:val="20"/>
                <w:szCs w:val="20"/>
              </w:rPr>
              <w:t>1</w:t>
            </w:r>
            <w:r w:rsidR="000B7ECE" w:rsidRPr="30C7FF53">
              <w:rPr>
                <w:rFonts w:eastAsia="Calibri"/>
                <w:sz w:val="20"/>
                <w:szCs w:val="20"/>
              </w:rPr>
              <w:t>0</w:t>
            </w:r>
            <w:r w:rsidR="36EED603" w:rsidRPr="30C7FF53">
              <w:rPr>
                <w:rFonts w:eastAsia="Calibri"/>
                <w:sz w:val="20"/>
                <w:szCs w:val="20"/>
              </w:rPr>
              <w:t>7</w:t>
            </w:r>
          </w:p>
        </w:tc>
        <w:tc>
          <w:tcPr>
            <w:tcW w:w="1665" w:type="dxa"/>
          </w:tcPr>
          <w:p w14:paraId="4F8B68F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Triple Divide Consulting</w:t>
            </w:r>
          </w:p>
        </w:tc>
        <w:tc>
          <w:tcPr>
            <w:tcW w:w="1350" w:type="dxa"/>
          </w:tcPr>
          <w:p w14:paraId="3246780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Business leaders</w:t>
            </w:r>
          </w:p>
        </w:tc>
        <w:tc>
          <w:tcPr>
            <w:tcW w:w="4140" w:type="dxa"/>
          </w:tcPr>
          <w:p w14:paraId="5476F25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 Needs – Chronically Homeless; Homeless Needs – Families with Children; Homelessness Needs – Veterans; Homelessness Needs – Unaccompanied Youth; Homelessness Strategy; Non-Homeless Special Needs; HOPWA Strategy; Market Analysis; Economic Development; Lead-Based Paint Strategy; Anti-Poverty Strategy; Other – Infrastructure</w:t>
            </w:r>
          </w:p>
        </w:tc>
        <w:tc>
          <w:tcPr>
            <w:tcW w:w="1926" w:type="dxa"/>
          </w:tcPr>
          <w:p w14:paraId="723BD8F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72B4D11C" w14:textId="77777777" w:rsidTr="6EE14823">
        <w:trPr>
          <w:cantSplit/>
        </w:trPr>
        <w:tc>
          <w:tcPr>
            <w:tcW w:w="580" w:type="dxa"/>
          </w:tcPr>
          <w:p w14:paraId="6EBBB918" w14:textId="0FFB31F7" w:rsidR="00076739" w:rsidRPr="0041544A" w:rsidRDefault="00076739" w:rsidP="54FDEEE5">
            <w:pPr>
              <w:spacing w:line="276" w:lineRule="auto"/>
              <w:jc w:val="both"/>
              <w:rPr>
                <w:rFonts w:eastAsia="Calibri"/>
                <w:sz w:val="20"/>
                <w:szCs w:val="20"/>
              </w:rPr>
            </w:pPr>
            <w:r w:rsidRPr="30C7FF53">
              <w:rPr>
                <w:rFonts w:eastAsia="Calibri"/>
                <w:sz w:val="20"/>
                <w:szCs w:val="20"/>
              </w:rPr>
              <w:t>1</w:t>
            </w:r>
            <w:r w:rsidR="000B7ECE" w:rsidRPr="30C7FF53">
              <w:rPr>
                <w:rFonts w:eastAsia="Calibri"/>
                <w:sz w:val="20"/>
                <w:szCs w:val="20"/>
              </w:rPr>
              <w:t>0</w:t>
            </w:r>
            <w:r w:rsidR="23B4EC9F" w:rsidRPr="30C7FF53">
              <w:rPr>
                <w:rFonts w:eastAsia="Calibri"/>
                <w:sz w:val="20"/>
                <w:szCs w:val="20"/>
              </w:rPr>
              <w:t>8</w:t>
            </w:r>
          </w:p>
        </w:tc>
        <w:tc>
          <w:tcPr>
            <w:tcW w:w="1665" w:type="dxa"/>
          </w:tcPr>
          <w:p w14:paraId="32B8BEA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U.S. Department of Agriculture-Rural Development (USDA-RD), Montana Field Office</w:t>
            </w:r>
          </w:p>
        </w:tc>
        <w:tc>
          <w:tcPr>
            <w:tcW w:w="1350" w:type="dxa"/>
          </w:tcPr>
          <w:p w14:paraId="747642DC"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Federal</w:t>
            </w:r>
          </w:p>
        </w:tc>
        <w:tc>
          <w:tcPr>
            <w:tcW w:w="4140" w:type="dxa"/>
          </w:tcPr>
          <w:p w14:paraId="77EFF558"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Homelessness Strategy; Non-Homeless Special Needs; Market Analysis; Economic Development; Anti-Poverty Strategy; Other – Infrastructure </w:t>
            </w:r>
          </w:p>
        </w:tc>
        <w:tc>
          <w:tcPr>
            <w:tcW w:w="1926" w:type="dxa"/>
          </w:tcPr>
          <w:p w14:paraId="4BA421E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6FFA4060" w14:textId="77777777" w:rsidTr="6EE14823">
        <w:trPr>
          <w:cantSplit/>
        </w:trPr>
        <w:tc>
          <w:tcPr>
            <w:tcW w:w="580" w:type="dxa"/>
          </w:tcPr>
          <w:p w14:paraId="1DC72299" w14:textId="2AA3111D" w:rsidR="00076739" w:rsidRPr="0041544A" w:rsidRDefault="00076739" w:rsidP="54FDEEE5">
            <w:pPr>
              <w:spacing w:line="276" w:lineRule="auto"/>
              <w:jc w:val="both"/>
              <w:rPr>
                <w:rFonts w:eastAsia="Calibri"/>
                <w:sz w:val="20"/>
                <w:szCs w:val="20"/>
              </w:rPr>
            </w:pPr>
            <w:r w:rsidRPr="30C7FF53">
              <w:rPr>
                <w:rFonts w:eastAsia="Calibri"/>
                <w:sz w:val="20"/>
                <w:szCs w:val="20"/>
              </w:rPr>
              <w:lastRenderedPageBreak/>
              <w:t>1</w:t>
            </w:r>
            <w:r w:rsidR="000B7ECE" w:rsidRPr="30C7FF53">
              <w:rPr>
                <w:rFonts w:eastAsia="Calibri"/>
                <w:sz w:val="20"/>
                <w:szCs w:val="20"/>
              </w:rPr>
              <w:t>0</w:t>
            </w:r>
            <w:r w:rsidR="61D40185" w:rsidRPr="30C7FF53">
              <w:rPr>
                <w:rFonts w:eastAsia="Calibri"/>
                <w:sz w:val="20"/>
                <w:szCs w:val="20"/>
              </w:rPr>
              <w:t>9</w:t>
            </w:r>
          </w:p>
        </w:tc>
        <w:tc>
          <w:tcPr>
            <w:tcW w:w="1665" w:type="dxa"/>
          </w:tcPr>
          <w:p w14:paraId="7B871222"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U.S. Department of the Interior – Bureau of Indian Affairs, Indian Health Services</w:t>
            </w:r>
          </w:p>
        </w:tc>
        <w:tc>
          <w:tcPr>
            <w:tcW w:w="1350" w:type="dxa"/>
          </w:tcPr>
          <w:p w14:paraId="07CF984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Federal</w:t>
            </w:r>
          </w:p>
        </w:tc>
        <w:tc>
          <w:tcPr>
            <w:tcW w:w="4140" w:type="dxa"/>
          </w:tcPr>
          <w:p w14:paraId="4212252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Housing Needs Assessment; Public Housing Needs; Homeless Needs – Chronically Homeless; Homeless Needs – Families with Children; Homelessness Needs – Veterans; Homelessness Needs – Unaccompanied Youth; Homelessness Strategy; Non-Homeless Special Needs; HOPWA Strategy; Market Analysis; Lead-Based Paint Strategy; Anti-Poverty Strategy; Other – Infrastructure </w:t>
            </w:r>
          </w:p>
        </w:tc>
        <w:tc>
          <w:tcPr>
            <w:tcW w:w="1926" w:type="dxa"/>
          </w:tcPr>
          <w:p w14:paraId="4D27191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1FE0C81E" w14:textId="77777777" w:rsidTr="6EE14823">
        <w:trPr>
          <w:cantSplit/>
        </w:trPr>
        <w:tc>
          <w:tcPr>
            <w:tcW w:w="580" w:type="dxa"/>
          </w:tcPr>
          <w:p w14:paraId="73DA49A6" w14:textId="4EA09759" w:rsidR="00076739" w:rsidRPr="0041544A" w:rsidRDefault="00076739" w:rsidP="54FDEEE5">
            <w:pPr>
              <w:spacing w:line="276" w:lineRule="auto"/>
              <w:jc w:val="both"/>
              <w:rPr>
                <w:rFonts w:eastAsia="Calibri"/>
                <w:sz w:val="20"/>
                <w:szCs w:val="20"/>
              </w:rPr>
            </w:pPr>
            <w:r w:rsidRPr="30C7FF53">
              <w:rPr>
                <w:rFonts w:eastAsia="Calibri"/>
                <w:sz w:val="20"/>
                <w:szCs w:val="20"/>
              </w:rPr>
              <w:t>1</w:t>
            </w:r>
            <w:r w:rsidR="03570D79" w:rsidRPr="30C7FF53">
              <w:rPr>
                <w:rFonts w:eastAsia="Calibri"/>
                <w:sz w:val="20"/>
                <w:szCs w:val="20"/>
              </w:rPr>
              <w:t>10</w:t>
            </w:r>
          </w:p>
        </w:tc>
        <w:tc>
          <w:tcPr>
            <w:tcW w:w="1665" w:type="dxa"/>
          </w:tcPr>
          <w:p w14:paraId="184853E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Western Montana Mental Health Center</w:t>
            </w:r>
          </w:p>
        </w:tc>
        <w:tc>
          <w:tcPr>
            <w:tcW w:w="1350" w:type="dxa"/>
          </w:tcPr>
          <w:p w14:paraId="29C77C4B"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Regional organization</w:t>
            </w:r>
          </w:p>
        </w:tc>
        <w:tc>
          <w:tcPr>
            <w:tcW w:w="4140" w:type="dxa"/>
          </w:tcPr>
          <w:p w14:paraId="64F805A3"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 Needs – Chronically Homeless; Homeless Needs – Families with Children; Homelessness Needs – Veterans; Homelessness Needs – Unaccompanied Youth; Homelessness Strategy; Non-Homeless Special Needs; HOPWA Strategy; Anti-Poverty Strategy</w:t>
            </w:r>
          </w:p>
        </w:tc>
        <w:tc>
          <w:tcPr>
            <w:tcW w:w="1926" w:type="dxa"/>
          </w:tcPr>
          <w:p w14:paraId="19FD277E"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r w:rsidR="00637995" w:rsidRPr="0041544A" w14:paraId="41BC9ECA" w14:textId="77777777" w:rsidTr="6EE14823">
        <w:trPr>
          <w:cantSplit/>
          <w:trHeight w:val="278"/>
        </w:trPr>
        <w:tc>
          <w:tcPr>
            <w:tcW w:w="580" w:type="dxa"/>
          </w:tcPr>
          <w:p w14:paraId="0D69FB59" w14:textId="077E7E46" w:rsidR="00076739" w:rsidRPr="0041544A" w:rsidRDefault="00076739" w:rsidP="54FDEEE5">
            <w:pPr>
              <w:spacing w:line="276" w:lineRule="auto"/>
              <w:jc w:val="both"/>
              <w:rPr>
                <w:rFonts w:eastAsia="Calibri"/>
                <w:sz w:val="20"/>
                <w:szCs w:val="20"/>
              </w:rPr>
            </w:pPr>
            <w:r w:rsidRPr="30C7FF53">
              <w:rPr>
                <w:rFonts w:eastAsia="Calibri"/>
                <w:sz w:val="20"/>
                <w:szCs w:val="20"/>
              </w:rPr>
              <w:t>1</w:t>
            </w:r>
            <w:r w:rsidR="26134CDF" w:rsidRPr="30C7FF53">
              <w:rPr>
                <w:rFonts w:eastAsia="Calibri"/>
                <w:sz w:val="20"/>
                <w:szCs w:val="20"/>
              </w:rPr>
              <w:t>11</w:t>
            </w:r>
          </w:p>
        </w:tc>
        <w:tc>
          <w:tcPr>
            <w:tcW w:w="1665" w:type="dxa"/>
          </w:tcPr>
          <w:p w14:paraId="35DC2DA5"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Whitefish Housing Authority</w:t>
            </w:r>
          </w:p>
        </w:tc>
        <w:tc>
          <w:tcPr>
            <w:tcW w:w="1350" w:type="dxa"/>
          </w:tcPr>
          <w:p w14:paraId="5ACFE224"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PHA</w:t>
            </w:r>
          </w:p>
        </w:tc>
        <w:tc>
          <w:tcPr>
            <w:tcW w:w="4140" w:type="dxa"/>
          </w:tcPr>
          <w:p w14:paraId="742358B1"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Public Housing Needs; Homelessness Strategy; HOPWA Strategy; Lead-Based Paint Strategy</w:t>
            </w:r>
          </w:p>
        </w:tc>
        <w:tc>
          <w:tcPr>
            <w:tcW w:w="1926" w:type="dxa"/>
          </w:tcPr>
          <w:p w14:paraId="0B0E616F"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Included on email listserv</w:t>
            </w:r>
          </w:p>
        </w:tc>
      </w:tr>
      <w:tr w:rsidR="00637995" w:rsidRPr="0041544A" w14:paraId="5F49572E" w14:textId="77777777" w:rsidTr="6EE14823">
        <w:trPr>
          <w:cantSplit/>
        </w:trPr>
        <w:tc>
          <w:tcPr>
            <w:tcW w:w="580" w:type="dxa"/>
          </w:tcPr>
          <w:p w14:paraId="7C247F73" w14:textId="2CECB45A" w:rsidR="00076739" w:rsidRPr="0041544A" w:rsidRDefault="00076739" w:rsidP="54FDEEE5">
            <w:pPr>
              <w:spacing w:line="276" w:lineRule="auto"/>
              <w:jc w:val="both"/>
              <w:rPr>
                <w:rFonts w:eastAsia="Calibri"/>
                <w:sz w:val="20"/>
                <w:szCs w:val="20"/>
              </w:rPr>
            </w:pPr>
            <w:r w:rsidRPr="30C7FF53">
              <w:rPr>
                <w:rFonts w:eastAsia="Calibri"/>
                <w:sz w:val="20"/>
                <w:szCs w:val="20"/>
              </w:rPr>
              <w:t>1</w:t>
            </w:r>
            <w:r w:rsidR="18483A5D" w:rsidRPr="30C7FF53">
              <w:rPr>
                <w:rFonts w:eastAsia="Calibri"/>
                <w:sz w:val="20"/>
                <w:szCs w:val="20"/>
              </w:rPr>
              <w:t>12</w:t>
            </w:r>
          </w:p>
        </w:tc>
        <w:tc>
          <w:tcPr>
            <w:tcW w:w="1665" w:type="dxa"/>
          </w:tcPr>
          <w:p w14:paraId="1F3A5757"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Windemere Real Estate</w:t>
            </w:r>
          </w:p>
        </w:tc>
        <w:tc>
          <w:tcPr>
            <w:tcW w:w="1350" w:type="dxa"/>
          </w:tcPr>
          <w:p w14:paraId="1C356220"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Business leaders</w:t>
            </w:r>
          </w:p>
        </w:tc>
        <w:tc>
          <w:tcPr>
            <w:tcW w:w="4140" w:type="dxa"/>
          </w:tcPr>
          <w:p w14:paraId="47021DF9"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Housing Needs Assessment; Homelessness Strategy; Non-Homeless Special Needs; Market Analysis; Economic Development; Lead-Based Paint Strategy</w:t>
            </w:r>
          </w:p>
        </w:tc>
        <w:tc>
          <w:tcPr>
            <w:tcW w:w="1926" w:type="dxa"/>
          </w:tcPr>
          <w:p w14:paraId="3744A3B6" w14:textId="77777777" w:rsidR="00076739" w:rsidRPr="0041544A" w:rsidRDefault="00076739" w:rsidP="00076739">
            <w:pPr>
              <w:spacing w:line="276" w:lineRule="auto"/>
              <w:rPr>
                <w:rFonts w:eastAsia="Calibri" w:cstheme="minorHAnsi"/>
                <w:sz w:val="20"/>
                <w:szCs w:val="20"/>
              </w:rPr>
            </w:pPr>
            <w:r w:rsidRPr="0041544A">
              <w:rPr>
                <w:rFonts w:eastAsia="Calibri" w:cstheme="minorHAnsi"/>
                <w:sz w:val="20"/>
                <w:szCs w:val="20"/>
              </w:rPr>
              <w:t xml:space="preserve">Included on email listserv </w:t>
            </w:r>
          </w:p>
        </w:tc>
      </w:tr>
    </w:tbl>
    <w:p w14:paraId="379AF962" w14:textId="77777777" w:rsidR="00076739" w:rsidRDefault="00076739" w:rsidP="002B69AE">
      <w:pPr>
        <w:pStyle w:val="Heading4"/>
      </w:pPr>
    </w:p>
    <w:p w14:paraId="6EDC2363" w14:textId="2D6C879A" w:rsidR="002B69AE" w:rsidRDefault="002B69AE" w:rsidP="002B69AE">
      <w:pPr>
        <w:pStyle w:val="Heading4"/>
      </w:pPr>
      <w:r>
        <w:t>Identify any Agency Types not consulted and provide rationale for not consulting:</w:t>
      </w:r>
    </w:p>
    <w:p w14:paraId="7B25CF73" w14:textId="1EB41427" w:rsidR="000B7ECE" w:rsidRDefault="000B7ECE" w:rsidP="000B7ECE">
      <w:r w:rsidRPr="00AF019C">
        <w:rPr>
          <w:b/>
          <w:bCs/>
        </w:rPr>
        <w:t>Table 2</w:t>
      </w:r>
      <w:r>
        <w:t xml:space="preserve"> lists those agencies, groups, and organizations that the State consulted with and who took a proactive step in participating in the development of the </w:t>
      </w:r>
      <w:r w:rsidR="006216A8">
        <w:t>2024-2025</w:t>
      </w:r>
      <w:r>
        <w:t xml:space="preserve"> AAP. There were many additional agencies, groups, and organizations that participated in the development of the 2020-2024 Con</w:t>
      </w:r>
      <w:r w:rsidR="00B73E41">
        <w:t>solidated</w:t>
      </w:r>
      <w:r>
        <w:t xml:space="preserve"> Plan. For a complete list of agencies, groups, and organizations that Commerce contacted regarding the development of the draft plan, see </w:t>
      </w:r>
      <w:r w:rsidR="00046341" w:rsidRPr="00046341">
        <w:t>Appendix E of the 2020-2024 Consolidated Plan.</w:t>
      </w:r>
    </w:p>
    <w:p w14:paraId="74945820" w14:textId="77777777" w:rsidR="000B7ECE" w:rsidRDefault="000B7ECE" w:rsidP="000B7ECE"/>
    <w:p w14:paraId="7A05AC72" w14:textId="77777777" w:rsidR="000B7ECE" w:rsidRDefault="000B7ECE" w:rsidP="000B7ECE">
      <w:r w:rsidRPr="00C26D0E">
        <w:t>Commerce</w:t>
      </w:r>
      <w:r>
        <w:t xml:space="preserve"> made every effort to be inclusive of all state and local agencies, groups, and organizations in this planning process. </w:t>
      </w:r>
    </w:p>
    <w:p w14:paraId="774D1DCC" w14:textId="77777777" w:rsidR="002B69AE" w:rsidRPr="002B69AE" w:rsidRDefault="002B69AE" w:rsidP="002B69AE"/>
    <w:p w14:paraId="6E28ED04" w14:textId="2001D3F0" w:rsidR="002B69AE" w:rsidRDefault="002B69AE" w:rsidP="002B69AE">
      <w:pPr>
        <w:pStyle w:val="Heading4"/>
      </w:pPr>
      <w:r>
        <w:t>Describe other local/regional/state/federal planning efforts considered when preparing the Plan</w:t>
      </w:r>
    </w:p>
    <w:p w14:paraId="041BA4B8" w14:textId="77777777" w:rsidR="002B69AE" w:rsidRPr="002B69AE" w:rsidRDefault="002B69AE" w:rsidP="002B69AE"/>
    <w:p w14:paraId="3CD71686" w14:textId="77777777" w:rsidR="002B69AE" w:rsidRDefault="3738ABA8" w:rsidP="002B69AE">
      <w:pPr>
        <w:pStyle w:val="TableCaption"/>
      </w:pPr>
      <w:bookmarkStart w:id="28" w:name="_Toc56449234"/>
      <w:bookmarkStart w:id="29" w:name="_Toc61552474"/>
      <w:bookmarkStart w:id="30" w:name="_Toc70505075"/>
      <w:bookmarkStart w:id="31" w:name="_Toc73081440"/>
      <w:r>
        <w:t>Table 3 – Other Local / Regional / Federal Planning Efforts</w:t>
      </w:r>
      <w:bookmarkEnd w:id="28"/>
      <w:bookmarkEnd w:id="29"/>
      <w:bookmarkEnd w:id="30"/>
      <w:bookmarkEnd w:id="3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ther Local / Regional / Federal Planning Efforts (Table 3)"/>
        <w:tblDescription w:val="This table shows local, regional, and federal planning efforts considered when preparing the Consolidated Plan."/>
      </w:tblPr>
      <w:tblGrid>
        <w:gridCol w:w="1424"/>
        <w:gridCol w:w="1433"/>
        <w:gridCol w:w="6503"/>
      </w:tblGrid>
      <w:tr w:rsidR="002B69AE" w:rsidRPr="0055560B" w14:paraId="76E64B23" w14:textId="77777777" w:rsidTr="331F13D3">
        <w:trPr>
          <w:trHeight w:val="300"/>
          <w:tblHeader/>
        </w:trPr>
        <w:tc>
          <w:tcPr>
            <w:tcW w:w="1424" w:type="dxa"/>
            <w:shd w:val="clear" w:color="auto" w:fill="C5D4D5"/>
            <w:vAlign w:val="center"/>
          </w:tcPr>
          <w:p w14:paraId="2287F5BD" w14:textId="77777777" w:rsidR="002B69AE" w:rsidRPr="0055560B" w:rsidRDefault="002B69AE" w:rsidP="003E73B9">
            <w:pPr>
              <w:jc w:val="center"/>
              <w:rPr>
                <w:sz w:val="20"/>
                <w:szCs w:val="20"/>
              </w:rPr>
            </w:pPr>
            <w:r w:rsidRPr="0055560B">
              <w:rPr>
                <w:sz w:val="20"/>
                <w:szCs w:val="20"/>
              </w:rPr>
              <w:t>Name of Plan</w:t>
            </w:r>
          </w:p>
        </w:tc>
        <w:tc>
          <w:tcPr>
            <w:tcW w:w="1433" w:type="dxa"/>
            <w:shd w:val="clear" w:color="auto" w:fill="C5D4D5"/>
            <w:vAlign w:val="center"/>
          </w:tcPr>
          <w:p w14:paraId="54EB0C15" w14:textId="77777777" w:rsidR="002B69AE" w:rsidRPr="0055560B" w:rsidRDefault="002B69AE" w:rsidP="003E73B9">
            <w:pPr>
              <w:jc w:val="center"/>
              <w:rPr>
                <w:sz w:val="20"/>
                <w:szCs w:val="20"/>
              </w:rPr>
            </w:pPr>
            <w:r w:rsidRPr="0055560B">
              <w:rPr>
                <w:sz w:val="20"/>
                <w:szCs w:val="20"/>
              </w:rPr>
              <w:t>Lead Organization</w:t>
            </w:r>
          </w:p>
        </w:tc>
        <w:tc>
          <w:tcPr>
            <w:tcW w:w="6503" w:type="dxa"/>
            <w:shd w:val="clear" w:color="auto" w:fill="C5D4D5"/>
            <w:vAlign w:val="center"/>
          </w:tcPr>
          <w:p w14:paraId="583B52DA" w14:textId="77777777" w:rsidR="002B69AE" w:rsidRPr="0055560B" w:rsidRDefault="002B69AE" w:rsidP="003E73B9">
            <w:pPr>
              <w:jc w:val="center"/>
              <w:rPr>
                <w:sz w:val="20"/>
                <w:szCs w:val="20"/>
              </w:rPr>
            </w:pPr>
            <w:r w:rsidRPr="0055560B">
              <w:rPr>
                <w:sz w:val="20"/>
                <w:szCs w:val="20"/>
              </w:rPr>
              <w:t>How do the goals of your Strategic Plan overlap with the goals of each plan</w:t>
            </w:r>
          </w:p>
        </w:tc>
      </w:tr>
      <w:tr w:rsidR="002B69AE" w:rsidRPr="0055560B" w14:paraId="6E514E62" w14:textId="77777777" w:rsidTr="331F13D3">
        <w:trPr>
          <w:trHeight w:val="300"/>
        </w:trPr>
        <w:tc>
          <w:tcPr>
            <w:tcW w:w="1424" w:type="dxa"/>
          </w:tcPr>
          <w:p w14:paraId="53D80F71" w14:textId="62C046B3" w:rsidR="002B69AE" w:rsidRPr="0055560B" w:rsidRDefault="196EE950">
            <w:pPr>
              <w:rPr>
                <w:sz w:val="20"/>
                <w:szCs w:val="20"/>
              </w:rPr>
            </w:pPr>
            <w:r w:rsidRPr="6EE14823">
              <w:rPr>
                <w:sz w:val="20"/>
                <w:szCs w:val="20"/>
              </w:rPr>
              <w:t>Joint Policy Statement</w:t>
            </w:r>
          </w:p>
        </w:tc>
        <w:tc>
          <w:tcPr>
            <w:tcW w:w="1433" w:type="dxa"/>
          </w:tcPr>
          <w:p w14:paraId="22D550CC" w14:textId="4D9A2736" w:rsidR="002B69AE" w:rsidRPr="0055560B" w:rsidRDefault="71E850DA" w:rsidP="003E73B9">
            <w:pPr>
              <w:rPr>
                <w:sz w:val="20"/>
                <w:szCs w:val="20"/>
              </w:rPr>
            </w:pPr>
            <w:r w:rsidRPr="6EE14823">
              <w:rPr>
                <w:sz w:val="20"/>
                <w:szCs w:val="20"/>
              </w:rPr>
              <w:t>Montana Continuum of Care</w:t>
            </w:r>
          </w:p>
        </w:tc>
        <w:tc>
          <w:tcPr>
            <w:tcW w:w="6503" w:type="dxa"/>
          </w:tcPr>
          <w:p w14:paraId="6C89676A" w14:textId="4DD4FF30" w:rsidR="002B69AE" w:rsidRPr="0055560B" w:rsidRDefault="3738ABA8" w:rsidP="003E73B9">
            <w:pPr>
              <w:rPr>
                <w:sz w:val="20"/>
                <w:szCs w:val="20"/>
              </w:rPr>
            </w:pPr>
            <w:r w:rsidRPr="6EE14823">
              <w:rPr>
                <w:sz w:val="20"/>
                <w:szCs w:val="20"/>
              </w:rPr>
              <w:t xml:space="preserve">The </w:t>
            </w:r>
            <w:proofErr w:type="spellStart"/>
            <w:r w:rsidRPr="6EE14823">
              <w:rPr>
                <w:sz w:val="20"/>
                <w:szCs w:val="20"/>
              </w:rPr>
              <w:t>MTCoC</w:t>
            </w:r>
            <w:proofErr w:type="spellEnd"/>
            <w:r w:rsidRPr="6EE14823">
              <w:rPr>
                <w:sz w:val="20"/>
                <w:szCs w:val="20"/>
              </w:rPr>
              <w:t xml:space="preserve"> provides funding for many of the same activities provided through the HUD-funded programs addressed in the 2020-2024 Consolidated Plan</w:t>
            </w:r>
            <w:r w:rsidRPr="6EE14823">
              <w:rPr>
                <w:i/>
                <w:iCs/>
                <w:sz w:val="20"/>
                <w:szCs w:val="20"/>
              </w:rPr>
              <w:t xml:space="preserve"> </w:t>
            </w:r>
            <w:r w:rsidRPr="6EE14823">
              <w:rPr>
                <w:sz w:val="20"/>
                <w:szCs w:val="20"/>
              </w:rPr>
              <w:t>and 202</w:t>
            </w:r>
            <w:r w:rsidR="5BF021B4" w:rsidRPr="6EE14823">
              <w:rPr>
                <w:sz w:val="20"/>
                <w:szCs w:val="20"/>
              </w:rPr>
              <w:t>3</w:t>
            </w:r>
            <w:r w:rsidRPr="6EE14823">
              <w:rPr>
                <w:sz w:val="20"/>
                <w:szCs w:val="20"/>
              </w:rPr>
              <w:t>-202</w:t>
            </w:r>
            <w:r w:rsidR="5BF021B4" w:rsidRPr="6EE14823">
              <w:rPr>
                <w:sz w:val="20"/>
                <w:szCs w:val="20"/>
              </w:rPr>
              <w:t>4</w:t>
            </w:r>
            <w:r w:rsidRPr="6EE14823">
              <w:rPr>
                <w:i/>
                <w:iCs/>
                <w:sz w:val="20"/>
                <w:szCs w:val="20"/>
              </w:rPr>
              <w:t xml:space="preserve"> </w:t>
            </w:r>
            <w:r w:rsidRPr="6EE14823">
              <w:rPr>
                <w:sz w:val="20"/>
                <w:szCs w:val="20"/>
              </w:rPr>
              <w:t xml:space="preserve">AAP for homeless individuals and families. </w:t>
            </w:r>
            <w:proofErr w:type="spellStart"/>
            <w:r w:rsidR="29F8A5EB" w:rsidRPr="6EE14823">
              <w:rPr>
                <w:sz w:val="20"/>
                <w:szCs w:val="20"/>
              </w:rPr>
              <w:t>MTCo</w:t>
            </w:r>
            <w:r w:rsidR="45EBF3F7" w:rsidRPr="6EE14823">
              <w:rPr>
                <w:sz w:val="20"/>
                <w:szCs w:val="20"/>
              </w:rPr>
              <w:t>C</w:t>
            </w:r>
            <w:proofErr w:type="spellEnd"/>
            <w:r w:rsidR="29F8A5EB" w:rsidRPr="6EE14823">
              <w:rPr>
                <w:sz w:val="20"/>
                <w:szCs w:val="20"/>
              </w:rPr>
              <w:t xml:space="preserve"> conducted strategic planning in October 2021, including participation from Commerce and DPHHS.</w:t>
            </w:r>
          </w:p>
        </w:tc>
      </w:tr>
      <w:tr w:rsidR="002B69AE" w:rsidRPr="0055560B" w14:paraId="32A6F67F" w14:textId="77777777" w:rsidTr="331F13D3">
        <w:trPr>
          <w:trHeight w:val="300"/>
        </w:trPr>
        <w:tc>
          <w:tcPr>
            <w:tcW w:w="1424" w:type="dxa"/>
          </w:tcPr>
          <w:p w14:paraId="4038EFA0" w14:textId="77777777" w:rsidR="002B69AE" w:rsidRPr="0055560B" w:rsidRDefault="002B69AE" w:rsidP="003E73B9">
            <w:pPr>
              <w:keepLines/>
              <w:rPr>
                <w:sz w:val="20"/>
                <w:szCs w:val="20"/>
              </w:rPr>
            </w:pPr>
            <w:r w:rsidRPr="0055560B">
              <w:rPr>
                <w:sz w:val="20"/>
                <w:szCs w:val="20"/>
              </w:rPr>
              <w:lastRenderedPageBreak/>
              <w:t>20</w:t>
            </w:r>
            <w:r>
              <w:rPr>
                <w:sz w:val="20"/>
                <w:szCs w:val="20"/>
              </w:rPr>
              <w:t>20</w:t>
            </w:r>
            <w:r w:rsidRPr="0055560B">
              <w:rPr>
                <w:sz w:val="20"/>
                <w:szCs w:val="20"/>
              </w:rPr>
              <w:t>-20</w:t>
            </w:r>
            <w:r>
              <w:rPr>
                <w:sz w:val="20"/>
                <w:szCs w:val="20"/>
              </w:rPr>
              <w:t>24</w:t>
            </w:r>
            <w:r w:rsidRPr="0055560B">
              <w:rPr>
                <w:sz w:val="20"/>
                <w:szCs w:val="20"/>
              </w:rPr>
              <w:t xml:space="preserve"> Consolidated Plan</w:t>
            </w:r>
          </w:p>
        </w:tc>
        <w:tc>
          <w:tcPr>
            <w:tcW w:w="1433" w:type="dxa"/>
          </w:tcPr>
          <w:p w14:paraId="634DA7DD" w14:textId="77777777" w:rsidR="002B69AE" w:rsidRPr="0055560B" w:rsidRDefault="002B69AE" w:rsidP="003E73B9">
            <w:pPr>
              <w:keepLines/>
              <w:rPr>
                <w:sz w:val="20"/>
                <w:szCs w:val="20"/>
              </w:rPr>
            </w:pPr>
            <w:r w:rsidRPr="0055560B">
              <w:rPr>
                <w:sz w:val="20"/>
                <w:szCs w:val="20"/>
              </w:rPr>
              <w:t>City of Billings</w:t>
            </w:r>
          </w:p>
        </w:tc>
        <w:tc>
          <w:tcPr>
            <w:tcW w:w="6503" w:type="dxa"/>
          </w:tcPr>
          <w:p w14:paraId="352DA1DA" w14:textId="77777777" w:rsidR="002B69AE" w:rsidRPr="0055560B" w:rsidRDefault="002B69AE" w:rsidP="003E73B9">
            <w:pPr>
              <w:keepLines/>
              <w:rPr>
                <w:sz w:val="20"/>
                <w:szCs w:val="20"/>
              </w:rPr>
            </w:pPr>
            <w:r w:rsidRPr="0055560B">
              <w:rPr>
                <w:sz w:val="20"/>
                <w:szCs w:val="20"/>
              </w:rPr>
              <w:t xml:space="preserve">The State and the City of Billings share the same primary goals to provide decent housing, a suitable living environment, and expand economic opportunities </w:t>
            </w:r>
            <w:r>
              <w:rPr>
                <w:sz w:val="20"/>
                <w:szCs w:val="20"/>
              </w:rPr>
              <w:t>by</w:t>
            </w:r>
            <w:r w:rsidRPr="0055560B">
              <w:rPr>
                <w:sz w:val="20"/>
                <w:szCs w:val="20"/>
              </w:rPr>
              <w:t xml:space="preserve"> preserv</w:t>
            </w:r>
            <w:r>
              <w:rPr>
                <w:sz w:val="20"/>
                <w:szCs w:val="20"/>
              </w:rPr>
              <w:t>ing</w:t>
            </w:r>
            <w:r w:rsidRPr="0055560B">
              <w:rPr>
                <w:sz w:val="20"/>
                <w:szCs w:val="20"/>
              </w:rPr>
              <w:t xml:space="preserve"> the existing affordable housing stock, creating new affordable housing opportunities, and expanding housing choice options for existing and potential residents to foster stable, socio-economically diverse neighborhoods. </w:t>
            </w:r>
          </w:p>
        </w:tc>
      </w:tr>
      <w:tr w:rsidR="002B69AE" w:rsidRPr="0055560B" w14:paraId="4D5D0838" w14:textId="77777777" w:rsidTr="331F13D3">
        <w:trPr>
          <w:trHeight w:val="300"/>
        </w:trPr>
        <w:tc>
          <w:tcPr>
            <w:tcW w:w="1424" w:type="dxa"/>
          </w:tcPr>
          <w:p w14:paraId="4A4B38DB" w14:textId="2F0CF7B0" w:rsidR="002B69AE" w:rsidRPr="0055560B" w:rsidRDefault="009E06DE" w:rsidP="003E73B9">
            <w:pPr>
              <w:rPr>
                <w:sz w:val="20"/>
                <w:szCs w:val="20"/>
              </w:rPr>
            </w:pPr>
            <w:r>
              <w:rPr>
                <w:sz w:val="20"/>
                <w:szCs w:val="20"/>
              </w:rPr>
              <w:t xml:space="preserve">2024-2028 </w:t>
            </w:r>
            <w:r w:rsidR="002B69AE" w:rsidRPr="331F13D3">
              <w:rPr>
                <w:sz w:val="20"/>
                <w:szCs w:val="20"/>
              </w:rPr>
              <w:t>Consolidated Plan</w:t>
            </w:r>
          </w:p>
        </w:tc>
        <w:tc>
          <w:tcPr>
            <w:tcW w:w="1433" w:type="dxa"/>
          </w:tcPr>
          <w:p w14:paraId="42D117C7" w14:textId="77777777" w:rsidR="002B69AE" w:rsidRPr="0055560B" w:rsidRDefault="002B69AE" w:rsidP="003E73B9">
            <w:pPr>
              <w:rPr>
                <w:sz w:val="20"/>
                <w:szCs w:val="20"/>
              </w:rPr>
            </w:pPr>
            <w:r w:rsidRPr="0055560B">
              <w:rPr>
                <w:sz w:val="20"/>
                <w:szCs w:val="20"/>
              </w:rPr>
              <w:t>City of Missoula</w:t>
            </w:r>
          </w:p>
        </w:tc>
        <w:tc>
          <w:tcPr>
            <w:tcW w:w="6503" w:type="dxa"/>
          </w:tcPr>
          <w:p w14:paraId="6A8A0E8C" w14:textId="77777777" w:rsidR="002B69AE" w:rsidRPr="0055560B" w:rsidRDefault="002B69AE" w:rsidP="003E73B9">
            <w:pPr>
              <w:rPr>
                <w:sz w:val="20"/>
                <w:szCs w:val="20"/>
              </w:rPr>
            </w:pPr>
            <w:r w:rsidRPr="0055560B">
              <w:rPr>
                <w:sz w:val="20"/>
                <w:szCs w:val="20"/>
              </w:rPr>
              <w:t xml:space="preserve">The State and the City of Missoula share the same primary goals to provide decent housing, a suitable living environment, and expand economic opportunities </w:t>
            </w:r>
            <w:r>
              <w:rPr>
                <w:sz w:val="20"/>
                <w:szCs w:val="20"/>
              </w:rPr>
              <w:t>by</w:t>
            </w:r>
            <w:r w:rsidRPr="0055560B">
              <w:rPr>
                <w:sz w:val="20"/>
                <w:szCs w:val="20"/>
              </w:rPr>
              <w:t xml:space="preserve"> ending homelessness, increasing affordable rental housing and homeownership opportunities, providing public facilities and infrastructure, achieving economic development, encouraging sustainability and decreasing or mitigating environmental hazards in housing and neighborhoods, eliminating barriers to affordable housing, planning to meet future community development needs, and expanding capacity to support community service needs.</w:t>
            </w:r>
          </w:p>
        </w:tc>
      </w:tr>
      <w:tr w:rsidR="002B69AE" w:rsidRPr="0055560B" w14:paraId="5709675E" w14:textId="77777777" w:rsidTr="331F13D3">
        <w:trPr>
          <w:trHeight w:val="300"/>
        </w:trPr>
        <w:tc>
          <w:tcPr>
            <w:tcW w:w="1424" w:type="dxa"/>
          </w:tcPr>
          <w:p w14:paraId="051133C0" w14:textId="77777777" w:rsidR="002B69AE" w:rsidRPr="0055560B" w:rsidRDefault="002B69AE" w:rsidP="003E73B9">
            <w:pPr>
              <w:rPr>
                <w:sz w:val="20"/>
                <w:szCs w:val="20"/>
              </w:rPr>
            </w:pPr>
            <w:r w:rsidRPr="0055560B">
              <w:rPr>
                <w:sz w:val="20"/>
                <w:szCs w:val="20"/>
              </w:rPr>
              <w:t>20</w:t>
            </w:r>
            <w:r>
              <w:rPr>
                <w:sz w:val="20"/>
                <w:szCs w:val="20"/>
              </w:rPr>
              <w:t>20</w:t>
            </w:r>
            <w:r w:rsidRPr="0055560B">
              <w:rPr>
                <w:sz w:val="20"/>
                <w:szCs w:val="20"/>
              </w:rPr>
              <w:t>-202</w:t>
            </w:r>
            <w:r>
              <w:rPr>
                <w:sz w:val="20"/>
                <w:szCs w:val="20"/>
              </w:rPr>
              <w:t>4</w:t>
            </w:r>
            <w:r w:rsidRPr="0055560B">
              <w:rPr>
                <w:sz w:val="20"/>
                <w:szCs w:val="20"/>
              </w:rPr>
              <w:t xml:space="preserve"> Consolidated Plan</w:t>
            </w:r>
          </w:p>
        </w:tc>
        <w:tc>
          <w:tcPr>
            <w:tcW w:w="1433" w:type="dxa"/>
          </w:tcPr>
          <w:p w14:paraId="7FFAF356" w14:textId="77777777" w:rsidR="002B69AE" w:rsidRPr="0055560B" w:rsidRDefault="002B69AE" w:rsidP="003E73B9">
            <w:pPr>
              <w:rPr>
                <w:sz w:val="20"/>
                <w:szCs w:val="20"/>
              </w:rPr>
            </w:pPr>
            <w:r w:rsidRPr="0055560B">
              <w:rPr>
                <w:sz w:val="20"/>
                <w:szCs w:val="20"/>
              </w:rPr>
              <w:t>City of Great Falls</w:t>
            </w:r>
          </w:p>
        </w:tc>
        <w:tc>
          <w:tcPr>
            <w:tcW w:w="6503" w:type="dxa"/>
          </w:tcPr>
          <w:p w14:paraId="595618FC" w14:textId="77777777" w:rsidR="00681DBC" w:rsidRPr="0055560B" w:rsidRDefault="002B69AE" w:rsidP="003E73B9">
            <w:pPr>
              <w:rPr>
                <w:sz w:val="20"/>
                <w:szCs w:val="20"/>
              </w:rPr>
            </w:pPr>
            <w:r w:rsidRPr="0055560B">
              <w:rPr>
                <w:sz w:val="20"/>
                <w:szCs w:val="20"/>
              </w:rPr>
              <w:t xml:space="preserve">The State and the City of Great Falls share the same primary goals to provide decent housing, a suitable living environment, and expand economic opportunities </w:t>
            </w:r>
            <w:r>
              <w:rPr>
                <w:sz w:val="20"/>
                <w:szCs w:val="20"/>
              </w:rPr>
              <w:t>by</w:t>
            </w:r>
            <w:r w:rsidRPr="0055560B">
              <w:rPr>
                <w:sz w:val="20"/>
                <w:szCs w:val="20"/>
              </w:rPr>
              <w:t xml:space="preserve"> rehabilitating public facilities to meet ADA accessibility standards and increase energy efficiency; building or rehabilitating transitional housing </w:t>
            </w:r>
            <w:r>
              <w:rPr>
                <w:sz w:val="20"/>
                <w:szCs w:val="20"/>
              </w:rPr>
              <w:t xml:space="preserve">and providing </w:t>
            </w:r>
            <w:r w:rsidRPr="0055560B">
              <w:rPr>
                <w:sz w:val="20"/>
                <w:szCs w:val="20"/>
              </w:rPr>
              <w:t xml:space="preserve">assistance </w:t>
            </w:r>
            <w:r>
              <w:rPr>
                <w:sz w:val="20"/>
                <w:szCs w:val="20"/>
              </w:rPr>
              <w:t>to</w:t>
            </w:r>
            <w:r w:rsidRPr="0055560B">
              <w:rPr>
                <w:sz w:val="20"/>
                <w:szCs w:val="20"/>
              </w:rPr>
              <w:t xml:space="preserve"> homeless or special needs persons; providing support to community service agencies; assisting first-time homebuyers with down payment and closing costs; constructing, purchasing, and rehabilitating new and existing affordable homes for ownership and rental; and funding economic development projects that create jobs for persons of low to moderate income.</w:t>
            </w:r>
          </w:p>
        </w:tc>
      </w:tr>
      <w:tr w:rsidR="00681DBC" w:rsidRPr="0055560B" w14:paraId="08A10419" w14:textId="77777777" w:rsidTr="331F13D3">
        <w:trPr>
          <w:trHeight w:val="300"/>
        </w:trPr>
        <w:tc>
          <w:tcPr>
            <w:tcW w:w="1424" w:type="dxa"/>
          </w:tcPr>
          <w:p w14:paraId="313496FC" w14:textId="7F30D183" w:rsidR="00681DBC" w:rsidRPr="0055560B" w:rsidRDefault="00681DBC" w:rsidP="003E73B9">
            <w:pPr>
              <w:rPr>
                <w:sz w:val="20"/>
                <w:szCs w:val="20"/>
              </w:rPr>
            </w:pPr>
            <w:r>
              <w:rPr>
                <w:sz w:val="20"/>
                <w:szCs w:val="20"/>
              </w:rPr>
              <w:t>2024-202</w:t>
            </w:r>
            <w:r w:rsidR="005F639A">
              <w:rPr>
                <w:sz w:val="20"/>
                <w:szCs w:val="20"/>
              </w:rPr>
              <w:t>8 Consolidated Plan</w:t>
            </w:r>
          </w:p>
        </w:tc>
        <w:tc>
          <w:tcPr>
            <w:tcW w:w="1433" w:type="dxa"/>
          </w:tcPr>
          <w:p w14:paraId="499105CE" w14:textId="2CE95992" w:rsidR="00681DBC" w:rsidRPr="0055560B" w:rsidRDefault="005F639A" w:rsidP="003E73B9">
            <w:pPr>
              <w:rPr>
                <w:sz w:val="20"/>
                <w:szCs w:val="20"/>
              </w:rPr>
            </w:pPr>
            <w:r>
              <w:rPr>
                <w:sz w:val="20"/>
                <w:szCs w:val="20"/>
              </w:rPr>
              <w:t>City of Bozeman</w:t>
            </w:r>
          </w:p>
        </w:tc>
        <w:tc>
          <w:tcPr>
            <w:tcW w:w="6503" w:type="dxa"/>
          </w:tcPr>
          <w:p w14:paraId="5B989BE2" w14:textId="171459B8" w:rsidR="00681DBC" w:rsidRPr="0055560B" w:rsidRDefault="00AC0F10" w:rsidP="003E73B9">
            <w:pPr>
              <w:rPr>
                <w:sz w:val="20"/>
                <w:szCs w:val="20"/>
              </w:rPr>
            </w:pPr>
            <w:r>
              <w:rPr>
                <w:sz w:val="20"/>
                <w:szCs w:val="20"/>
              </w:rPr>
              <w:t xml:space="preserve">The State and the City of Bozeman share the </w:t>
            </w:r>
            <w:r w:rsidR="001A75C4">
              <w:rPr>
                <w:sz w:val="20"/>
                <w:szCs w:val="20"/>
              </w:rPr>
              <w:t xml:space="preserve">same primary goals </w:t>
            </w:r>
            <w:r w:rsidR="008D7A00">
              <w:rPr>
                <w:sz w:val="20"/>
                <w:szCs w:val="20"/>
              </w:rPr>
              <w:t xml:space="preserve">of supporting infrastructure, economic development, public facilities, community facilities, housing, </w:t>
            </w:r>
            <w:r w:rsidR="00AE447C">
              <w:rPr>
                <w:sz w:val="20"/>
                <w:szCs w:val="20"/>
              </w:rPr>
              <w:t xml:space="preserve">and public services. </w:t>
            </w:r>
          </w:p>
        </w:tc>
      </w:tr>
    </w:tbl>
    <w:p w14:paraId="549DEE19" w14:textId="49C406E7" w:rsidR="002B69AE" w:rsidRDefault="002B69AE" w:rsidP="002B69AE"/>
    <w:p w14:paraId="6E486083" w14:textId="3AA9DA20" w:rsidR="002B69AE" w:rsidRDefault="002B69AE" w:rsidP="002B69AE">
      <w:pPr>
        <w:pStyle w:val="Heading3"/>
      </w:pPr>
      <w:r>
        <w:t>Narrative (optional)</w:t>
      </w:r>
    </w:p>
    <w:p w14:paraId="2A5F4163" w14:textId="5C343FB8" w:rsidR="002B69AE" w:rsidRDefault="00966F48" w:rsidP="003747A4">
      <w:r>
        <w:t>Not applicable.</w:t>
      </w:r>
    </w:p>
    <w:p w14:paraId="5045ACD9" w14:textId="77777777" w:rsidR="00966F48" w:rsidRPr="003747A4" w:rsidRDefault="00966F48" w:rsidP="003747A4"/>
    <w:p w14:paraId="2781989A" w14:textId="505CA1D0" w:rsidR="000A6F75" w:rsidRDefault="000A6F75" w:rsidP="003747A4">
      <w:pPr>
        <w:pStyle w:val="Heading2"/>
      </w:pPr>
      <w:bookmarkStart w:id="32" w:name="_Toc72413488"/>
      <w:r>
        <w:t>AP-1</w:t>
      </w:r>
      <w:r w:rsidR="003747A4">
        <w:t>2</w:t>
      </w:r>
      <w:r>
        <w:t xml:space="preserve"> </w:t>
      </w:r>
      <w:r w:rsidR="002B69AE">
        <w:t>Participation</w:t>
      </w:r>
      <w:r>
        <w:t xml:space="preserve"> – 91.</w:t>
      </w:r>
      <w:r w:rsidR="002B69AE">
        <w:t>115, 91.300(c)</w:t>
      </w:r>
      <w:bookmarkEnd w:id="32"/>
    </w:p>
    <w:p w14:paraId="600CFA10" w14:textId="77777777" w:rsidR="002B69AE" w:rsidRDefault="002B69AE" w:rsidP="002B69AE">
      <w:pPr>
        <w:pStyle w:val="Heading3"/>
      </w:pPr>
      <w:r>
        <w:t>1. Summary of citizen participation process/Efforts made to broaden citizen participation</w:t>
      </w:r>
    </w:p>
    <w:p w14:paraId="3A992671" w14:textId="4D593517" w:rsidR="002B69AE" w:rsidRDefault="002B69AE" w:rsidP="002B69AE">
      <w:pPr>
        <w:pStyle w:val="Heading4"/>
      </w:pPr>
      <w:r>
        <w:t xml:space="preserve">Summarize citizen participation process and how it impacted </w:t>
      </w:r>
      <w:r w:rsidR="00EB4082">
        <w:t xml:space="preserve">goal setting. </w:t>
      </w:r>
    </w:p>
    <w:p w14:paraId="36BD0437" w14:textId="3FCA2538" w:rsidR="00046341" w:rsidRDefault="405D5BFB" w:rsidP="00046341">
      <w:r>
        <w:t xml:space="preserve">Commerce developed a list of over </w:t>
      </w:r>
      <w:r w:rsidR="6232DD3C">
        <w:t xml:space="preserve">2,000 </w:t>
      </w:r>
      <w:r>
        <w:t>contacts of members of the public; city, town, and county officials; independent and professional consultants; for-profit entities; nonprofit entities; state and federal agencies; and</w:t>
      </w:r>
      <w:r w:rsidR="025778CA">
        <w:t xml:space="preserve"> </w:t>
      </w:r>
      <w:r>
        <w:t>various other organizations that play a role in the development of a comprehensive housing, community, and economic development strategy for Montana</w:t>
      </w:r>
      <w:r w:rsidRPr="331F13D3">
        <w:rPr>
          <w:b/>
          <w:bCs/>
        </w:rPr>
        <w:t xml:space="preserve"> </w:t>
      </w:r>
      <w:r>
        <w:t>(Appendix E</w:t>
      </w:r>
      <w:r w:rsidR="77797CF0">
        <w:t xml:space="preserve"> of the 2020-2024 Consolidated Plan</w:t>
      </w:r>
      <w:r>
        <w:t>).</w:t>
      </w:r>
      <w:r w:rsidRPr="331F13D3">
        <w:rPr>
          <w:b/>
          <w:bCs/>
        </w:rPr>
        <w:t xml:space="preserve"> </w:t>
      </w:r>
      <w:r>
        <w:t xml:space="preserve">The stakeholders were notified of all aspects of the development of the </w:t>
      </w:r>
      <w:r w:rsidR="006216A8">
        <w:t>2024-2025</w:t>
      </w:r>
      <w:r>
        <w:t xml:space="preserve"> AAP documents, including invitations to attend public meetings and notice of availability of draft documents for review and comment. All meetings were </w:t>
      </w:r>
      <w:r w:rsidR="7F5FD98D">
        <w:t>conducted via webinar</w:t>
      </w:r>
      <w:r>
        <w:t>; all meeting materials, minutes, and transcripts were made available via the Commerce website; and all Consolidated Plan documents were available in hardcopy at designated repositories throughout the state or upon request.</w:t>
      </w:r>
    </w:p>
    <w:p w14:paraId="552780BC" w14:textId="77777777" w:rsidR="00046341" w:rsidRDefault="00046341" w:rsidP="00046341"/>
    <w:p w14:paraId="13F586CC" w14:textId="0594E20E" w:rsidR="00046341" w:rsidRDefault="4410E35E" w:rsidP="00046341">
      <w:r>
        <w:t xml:space="preserve">The public comment period for the </w:t>
      </w:r>
      <w:r w:rsidR="2616CDE5">
        <w:t>D</w:t>
      </w:r>
      <w:r>
        <w:t xml:space="preserve">raft </w:t>
      </w:r>
      <w:r w:rsidR="1D0A3A3C">
        <w:t>2024-2025</w:t>
      </w:r>
      <w:r>
        <w:t xml:space="preserve"> AAP was advertised on</w:t>
      </w:r>
      <w:r w:rsidR="153C0284">
        <w:t xml:space="preserve"> May 14, 2024</w:t>
      </w:r>
      <w:r w:rsidR="6BAFC590">
        <w:t xml:space="preserve">, began on </w:t>
      </w:r>
      <w:r w:rsidR="4E6D2B19">
        <w:t>May 15, 2024,</w:t>
      </w:r>
      <w:r w:rsidR="3DAA4CFA">
        <w:t xml:space="preserve"> </w:t>
      </w:r>
      <w:r w:rsidR="6BAFC590">
        <w:t xml:space="preserve">and </w:t>
      </w:r>
      <w:r w:rsidR="595D4658">
        <w:t>will end</w:t>
      </w:r>
      <w:r w:rsidR="6BAFC590">
        <w:t xml:space="preserve"> on</w:t>
      </w:r>
      <w:r w:rsidR="7B1AF0E2">
        <w:t xml:space="preserve"> June 13, 2024</w:t>
      </w:r>
      <w:r w:rsidR="6BAFC590">
        <w:t xml:space="preserve">. Commerce and DPHHS held </w:t>
      </w:r>
      <w:r w:rsidR="33854939">
        <w:t xml:space="preserve">the first of two </w:t>
      </w:r>
      <w:r w:rsidR="6BAFC590">
        <w:t xml:space="preserve">public hearings </w:t>
      </w:r>
      <w:r w:rsidR="6BAFC590">
        <w:lastRenderedPageBreak/>
        <w:t>on</w:t>
      </w:r>
      <w:r w:rsidR="343A4011">
        <w:t xml:space="preserve"> April 3, 2024</w:t>
      </w:r>
      <w:r w:rsidR="6BAFC590">
        <w:t>.</w:t>
      </w:r>
      <w:r w:rsidR="5FECFB69">
        <w:t xml:space="preserve">, to solicit general input, </w:t>
      </w:r>
      <w:r w:rsidR="01D0AC81">
        <w:t xml:space="preserve">and </w:t>
      </w:r>
      <w:r w:rsidR="2C267142">
        <w:t>the second on</w:t>
      </w:r>
      <w:r w:rsidR="3CFDAB7E">
        <w:t xml:space="preserve"> May 29, 2024</w:t>
      </w:r>
      <w:r w:rsidR="01D0AC81">
        <w:t>., seeking feedback</w:t>
      </w:r>
      <w:r>
        <w:t xml:space="preserve"> </w:t>
      </w:r>
      <w:r w:rsidR="6752C7BA">
        <w:t xml:space="preserve">on the published </w:t>
      </w:r>
      <w:r w:rsidR="2616CDE5">
        <w:t>D</w:t>
      </w:r>
      <w:r w:rsidR="6752C7BA">
        <w:t xml:space="preserve">raft </w:t>
      </w:r>
      <w:r w:rsidR="1D0A3A3C">
        <w:t>2024-2025</w:t>
      </w:r>
      <w:r w:rsidR="6752C7BA">
        <w:t xml:space="preserve"> AAP. </w:t>
      </w:r>
      <w:r>
        <w:t>Approximately</w:t>
      </w:r>
      <w:r w:rsidR="00EB4082">
        <w:t xml:space="preserve"> 20</w:t>
      </w:r>
      <w:r w:rsidR="6752C7BA">
        <w:t xml:space="preserve"> </w:t>
      </w:r>
      <w:r>
        <w:t xml:space="preserve">attendees attended </w:t>
      </w:r>
      <w:r w:rsidR="6752C7BA">
        <w:t xml:space="preserve">the </w:t>
      </w:r>
      <w:r w:rsidR="00B23ADA">
        <w:t xml:space="preserve">first general inquiry </w:t>
      </w:r>
      <w:r w:rsidR="6752C7BA">
        <w:t>public hearing</w:t>
      </w:r>
      <w:r>
        <w:t>.</w:t>
      </w:r>
      <w:r w:rsidR="6752C7BA">
        <w:t xml:space="preserve"> </w:t>
      </w:r>
      <w:r>
        <w:t xml:space="preserve">Public comments and views submitted during the </w:t>
      </w:r>
      <w:r w:rsidR="5AC578F4">
        <w:t xml:space="preserve">first </w:t>
      </w:r>
      <w:r>
        <w:t xml:space="preserve">public hearing and comment period were used in determining the goals and priorities of the </w:t>
      </w:r>
      <w:r w:rsidR="02B2E7B7">
        <w:t>AAP</w:t>
      </w:r>
      <w:r>
        <w:t>.</w:t>
      </w:r>
      <w:r w:rsidR="00072432">
        <w:t xml:space="preserve"> </w:t>
      </w:r>
    </w:p>
    <w:p w14:paraId="4D40FE73" w14:textId="77777777" w:rsidR="00046341" w:rsidRDefault="00046341" w:rsidP="00046341"/>
    <w:p w14:paraId="516E6069" w14:textId="0CCB87E0" w:rsidR="00046341" w:rsidRDefault="00046341" w:rsidP="00046341">
      <w:r>
        <w:t xml:space="preserve">Documentation detailing the citizen participation process, along with official transcripts and/or meeting minutes of all meetings held, is available on Commerce’s website. Commerce used its website throughout the development of the </w:t>
      </w:r>
      <w:r w:rsidR="006216A8">
        <w:t>2024-2025</w:t>
      </w:r>
      <w:r>
        <w:t xml:space="preserve"> AAP to enhance public participation, increase access to information, and publish plan </w:t>
      </w:r>
      <w:r w:rsidRPr="00336420">
        <w:t>documents (</w:t>
      </w:r>
      <w:r w:rsidRPr="00336420">
        <w:rPr>
          <w:b/>
        </w:rPr>
        <w:t xml:space="preserve">Appendix </w:t>
      </w:r>
      <w:r w:rsidR="00336420">
        <w:rPr>
          <w:b/>
        </w:rPr>
        <w:t>B</w:t>
      </w:r>
      <w:r w:rsidRPr="00336420">
        <w:t>).</w:t>
      </w:r>
      <w:r>
        <w:t xml:space="preserve"> Commerce utilized email and newspaper advertisements to notify the public of all </w:t>
      </w:r>
      <w:proofErr w:type="gramStart"/>
      <w:r>
        <w:t>plan</w:t>
      </w:r>
      <w:proofErr w:type="gramEnd"/>
      <w:r>
        <w:t xml:space="preserve"> activities </w:t>
      </w:r>
      <w:r w:rsidRPr="00336420">
        <w:t>(</w:t>
      </w:r>
      <w:r w:rsidRPr="00336420">
        <w:rPr>
          <w:b/>
        </w:rPr>
        <w:t xml:space="preserve">Appendix </w:t>
      </w:r>
      <w:r w:rsidR="00336420" w:rsidRPr="00336420">
        <w:rPr>
          <w:b/>
        </w:rPr>
        <w:t>B</w:t>
      </w:r>
      <w:r w:rsidRPr="00336420">
        <w:t>).</w:t>
      </w:r>
      <w:r>
        <w:t xml:space="preserve"> Furthermore, Commerce made the plan available in hardcopy at various repositories across the state and upon request.</w:t>
      </w:r>
    </w:p>
    <w:p w14:paraId="7DF03C92" w14:textId="77777777" w:rsidR="002B69AE" w:rsidRPr="002B69AE" w:rsidRDefault="002B69AE" w:rsidP="002B69AE"/>
    <w:p w14:paraId="0AA94C79" w14:textId="5030D9A4" w:rsidR="002B69AE" w:rsidRDefault="002B69AE" w:rsidP="002B69AE">
      <w:pPr>
        <w:pStyle w:val="Heading4"/>
      </w:pPr>
      <w:r>
        <w:t>Citizen Participation Outreach</w:t>
      </w:r>
    </w:p>
    <w:p w14:paraId="7D1A5A77" w14:textId="77777777" w:rsidR="00966F48" w:rsidRPr="00966F48" w:rsidRDefault="00966F48" w:rsidP="00966F48"/>
    <w:p w14:paraId="5244F6E9" w14:textId="77777777" w:rsidR="00966F48" w:rsidRPr="003E6184" w:rsidRDefault="00966F48" w:rsidP="00966F48">
      <w:pPr>
        <w:pStyle w:val="TableCaption"/>
      </w:pPr>
      <w:bookmarkStart w:id="33" w:name="_Toc70505076"/>
      <w:bookmarkStart w:id="34" w:name="_Toc73081441"/>
      <w:r w:rsidRPr="003E6184">
        <w:t>Table 4 – Citizen Participation Outreach</w:t>
      </w:r>
      <w:bookmarkEnd w:id="33"/>
      <w:bookmarkEnd w:id="3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Caption w:val="Citizen Participation Outreach (Table 4)"/>
        <w:tblDescription w:val="This table shows citizen participation outreach for the Consolidated Plan."/>
      </w:tblPr>
      <w:tblGrid>
        <w:gridCol w:w="332"/>
        <w:gridCol w:w="1239"/>
        <w:gridCol w:w="1939"/>
        <w:gridCol w:w="4050"/>
        <w:gridCol w:w="1800"/>
      </w:tblGrid>
      <w:tr w:rsidR="005C10EB" w14:paraId="7DD3E38F" w14:textId="77777777" w:rsidTr="331F13D3">
        <w:trPr>
          <w:cantSplit/>
          <w:tblHeader/>
        </w:trPr>
        <w:tc>
          <w:tcPr>
            <w:tcW w:w="332" w:type="dxa"/>
            <w:shd w:val="clear" w:color="auto" w:fill="C5D4D5"/>
            <w:vAlign w:val="center"/>
          </w:tcPr>
          <w:p w14:paraId="3AC119DE" w14:textId="77777777" w:rsidR="00966F48" w:rsidRPr="00FB6A96" w:rsidRDefault="00966F48" w:rsidP="003E73B9">
            <w:pPr>
              <w:rPr>
                <w:sz w:val="20"/>
                <w:szCs w:val="20"/>
              </w:rPr>
            </w:pPr>
            <w:r w:rsidRPr="00FB6A96">
              <w:rPr>
                <w:sz w:val="20"/>
                <w:szCs w:val="20"/>
              </w:rPr>
              <w:t>#</w:t>
            </w:r>
          </w:p>
        </w:tc>
        <w:tc>
          <w:tcPr>
            <w:tcW w:w="1239" w:type="dxa"/>
            <w:shd w:val="clear" w:color="auto" w:fill="C5D4D5"/>
            <w:vAlign w:val="center"/>
          </w:tcPr>
          <w:p w14:paraId="1D0A2F98" w14:textId="77777777" w:rsidR="00966F48" w:rsidRPr="00FB6A96" w:rsidRDefault="00966F48" w:rsidP="003E73B9">
            <w:pPr>
              <w:jc w:val="center"/>
              <w:rPr>
                <w:sz w:val="20"/>
                <w:szCs w:val="20"/>
              </w:rPr>
            </w:pPr>
            <w:r w:rsidRPr="00FB6A96">
              <w:rPr>
                <w:sz w:val="20"/>
                <w:szCs w:val="20"/>
              </w:rPr>
              <w:t>Mode of Outreach</w:t>
            </w:r>
          </w:p>
        </w:tc>
        <w:tc>
          <w:tcPr>
            <w:tcW w:w="1939" w:type="dxa"/>
            <w:shd w:val="clear" w:color="auto" w:fill="C5D4D5"/>
            <w:vAlign w:val="center"/>
          </w:tcPr>
          <w:p w14:paraId="2AD09ACF" w14:textId="77777777" w:rsidR="00966F48" w:rsidRPr="00FB6A96" w:rsidRDefault="00966F48" w:rsidP="003E73B9">
            <w:pPr>
              <w:jc w:val="center"/>
              <w:rPr>
                <w:sz w:val="20"/>
                <w:szCs w:val="20"/>
              </w:rPr>
            </w:pPr>
            <w:r w:rsidRPr="00FB6A96">
              <w:rPr>
                <w:sz w:val="20"/>
                <w:szCs w:val="20"/>
              </w:rPr>
              <w:t>Target of Outreach</w:t>
            </w:r>
          </w:p>
        </w:tc>
        <w:tc>
          <w:tcPr>
            <w:tcW w:w="4050" w:type="dxa"/>
            <w:shd w:val="clear" w:color="auto" w:fill="C5D4D5"/>
            <w:vAlign w:val="center"/>
          </w:tcPr>
          <w:p w14:paraId="1FCFC0B5" w14:textId="77777777" w:rsidR="00966F48" w:rsidRPr="00FB6A96" w:rsidRDefault="00966F48" w:rsidP="003E73B9">
            <w:pPr>
              <w:jc w:val="center"/>
              <w:rPr>
                <w:sz w:val="20"/>
                <w:szCs w:val="20"/>
              </w:rPr>
            </w:pPr>
            <w:r w:rsidRPr="00FB6A96">
              <w:rPr>
                <w:sz w:val="20"/>
                <w:szCs w:val="20"/>
              </w:rPr>
              <w:t xml:space="preserve">Summary of </w:t>
            </w:r>
            <w:r>
              <w:rPr>
                <w:sz w:val="20"/>
                <w:szCs w:val="20"/>
              </w:rPr>
              <w:t>Outreach Outcomes</w:t>
            </w:r>
          </w:p>
        </w:tc>
        <w:tc>
          <w:tcPr>
            <w:tcW w:w="1800" w:type="dxa"/>
            <w:shd w:val="clear" w:color="auto" w:fill="C5D4D5"/>
            <w:vAlign w:val="center"/>
          </w:tcPr>
          <w:p w14:paraId="00209A80" w14:textId="77777777" w:rsidR="00966F48" w:rsidRPr="00FB6A96" w:rsidRDefault="00966F48" w:rsidP="003E73B9">
            <w:pPr>
              <w:jc w:val="center"/>
              <w:rPr>
                <w:sz w:val="20"/>
                <w:szCs w:val="20"/>
              </w:rPr>
            </w:pPr>
            <w:r w:rsidRPr="00FB6A96">
              <w:rPr>
                <w:sz w:val="20"/>
                <w:szCs w:val="20"/>
              </w:rPr>
              <w:t>URL (If applicable)</w:t>
            </w:r>
          </w:p>
        </w:tc>
      </w:tr>
      <w:tr w:rsidR="00652580" w14:paraId="5E12D841" w14:textId="77777777" w:rsidTr="331F13D3">
        <w:trPr>
          <w:cantSplit/>
        </w:trPr>
        <w:tc>
          <w:tcPr>
            <w:tcW w:w="332" w:type="dxa"/>
            <w:vAlign w:val="center"/>
          </w:tcPr>
          <w:p w14:paraId="44CDD498" w14:textId="77777777" w:rsidR="00966F48" w:rsidRPr="00FB6A96" w:rsidRDefault="00966F48" w:rsidP="003E73B9">
            <w:pPr>
              <w:rPr>
                <w:sz w:val="20"/>
                <w:szCs w:val="20"/>
              </w:rPr>
            </w:pPr>
            <w:r>
              <w:rPr>
                <w:sz w:val="20"/>
                <w:szCs w:val="20"/>
              </w:rPr>
              <w:t>1</w:t>
            </w:r>
          </w:p>
        </w:tc>
        <w:tc>
          <w:tcPr>
            <w:tcW w:w="1239" w:type="dxa"/>
          </w:tcPr>
          <w:p w14:paraId="2761A5CF" w14:textId="77777777" w:rsidR="00966F48" w:rsidRPr="00FB6A96" w:rsidRDefault="00966F48" w:rsidP="003E73B9">
            <w:pPr>
              <w:rPr>
                <w:sz w:val="20"/>
                <w:szCs w:val="20"/>
              </w:rPr>
            </w:pPr>
            <w:r>
              <w:rPr>
                <w:sz w:val="20"/>
                <w:szCs w:val="20"/>
              </w:rPr>
              <w:t>Other – Email Listserv</w:t>
            </w:r>
          </w:p>
        </w:tc>
        <w:tc>
          <w:tcPr>
            <w:tcW w:w="1939" w:type="dxa"/>
          </w:tcPr>
          <w:p w14:paraId="6822C0D3" w14:textId="77777777" w:rsidR="00966F48" w:rsidRPr="00FB6A96" w:rsidRDefault="00966F48" w:rsidP="003E73B9">
            <w:pPr>
              <w:rPr>
                <w:sz w:val="20"/>
                <w:szCs w:val="20"/>
              </w:rPr>
            </w:pPr>
            <w:r>
              <w:rPr>
                <w:sz w:val="20"/>
                <w:szCs w:val="20"/>
              </w:rPr>
              <w:t>Non-targeted/ broad community</w:t>
            </w:r>
          </w:p>
        </w:tc>
        <w:tc>
          <w:tcPr>
            <w:tcW w:w="4050" w:type="dxa"/>
          </w:tcPr>
          <w:p w14:paraId="184C5B90" w14:textId="18160176" w:rsidR="00966F48" w:rsidRDefault="00966F48" w:rsidP="003E73B9">
            <w:pPr>
              <w:rPr>
                <w:sz w:val="20"/>
                <w:szCs w:val="20"/>
              </w:rPr>
            </w:pPr>
            <w:r w:rsidRPr="008536DB">
              <w:rPr>
                <w:b/>
                <w:sz w:val="20"/>
                <w:szCs w:val="20"/>
              </w:rPr>
              <w:t>Summary of response/attendance</w:t>
            </w:r>
            <w:r>
              <w:rPr>
                <w:sz w:val="20"/>
                <w:szCs w:val="20"/>
              </w:rPr>
              <w:t xml:space="preserve">: </w:t>
            </w:r>
            <w:r w:rsidRPr="008536DB">
              <w:rPr>
                <w:sz w:val="20"/>
                <w:szCs w:val="20"/>
              </w:rPr>
              <w:t xml:space="preserve">Commerce announced the </w:t>
            </w:r>
            <w:r>
              <w:rPr>
                <w:sz w:val="20"/>
                <w:szCs w:val="20"/>
              </w:rPr>
              <w:t xml:space="preserve">development and </w:t>
            </w:r>
            <w:r w:rsidRPr="008536DB">
              <w:rPr>
                <w:sz w:val="20"/>
                <w:szCs w:val="20"/>
              </w:rPr>
              <w:t xml:space="preserve">availability of the </w:t>
            </w:r>
            <w:r w:rsidR="00EB188B">
              <w:rPr>
                <w:sz w:val="20"/>
                <w:szCs w:val="20"/>
              </w:rPr>
              <w:t>d</w:t>
            </w:r>
            <w:r w:rsidRPr="008536DB">
              <w:rPr>
                <w:sz w:val="20"/>
                <w:szCs w:val="20"/>
              </w:rPr>
              <w:t xml:space="preserve">raft </w:t>
            </w:r>
            <w:r w:rsidR="006216A8">
              <w:rPr>
                <w:sz w:val="20"/>
                <w:szCs w:val="20"/>
              </w:rPr>
              <w:t>2024-2025</w:t>
            </w:r>
            <w:r w:rsidR="00EB188B">
              <w:rPr>
                <w:sz w:val="20"/>
                <w:szCs w:val="20"/>
              </w:rPr>
              <w:t xml:space="preserve"> </w:t>
            </w:r>
            <w:r w:rsidRPr="008536DB">
              <w:rPr>
                <w:sz w:val="20"/>
                <w:szCs w:val="20"/>
              </w:rPr>
              <w:t>AAP by emailing notice to the Consolidated Plan contact list.</w:t>
            </w:r>
          </w:p>
          <w:p w14:paraId="44614EEC" w14:textId="4B9E0254" w:rsidR="00966F48" w:rsidRDefault="00966F48" w:rsidP="003E73B9">
            <w:pPr>
              <w:rPr>
                <w:sz w:val="20"/>
                <w:szCs w:val="20"/>
              </w:rPr>
            </w:pPr>
            <w:r w:rsidRPr="00672C51">
              <w:rPr>
                <w:b/>
                <w:sz w:val="20"/>
                <w:szCs w:val="20"/>
              </w:rPr>
              <w:t>Summary of comments received</w:t>
            </w:r>
            <w:r>
              <w:rPr>
                <w:sz w:val="20"/>
                <w:szCs w:val="20"/>
              </w:rPr>
              <w:t>:</w:t>
            </w:r>
            <w:r>
              <w:t xml:space="preserve"> </w:t>
            </w:r>
            <w:r w:rsidRPr="00672C51">
              <w:rPr>
                <w:sz w:val="20"/>
                <w:szCs w:val="20"/>
              </w:rPr>
              <w:t xml:space="preserve">See </w:t>
            </w:r>
            <w:r w:rsidRPr="00336420">
              <w:rPr>
                <w:b/>
                <w:bCs/>
                <w:sz w:val="20"/>
                <w:szCs w:val="20"/>
              </w:rPr>
              <w:t xml:space="preserve">Appendix </w:t>
            </w:r>
            <w:r w:rsidR="00336420" w:rsidRPr="00336420">
              <w:rPr>
                <w:b/>
                <w:bCs/>
                <w:sz w:val="20"/>
                <w:szCs w:val="20"/>
              </w:rPr>
              <w:t>B</w:t>
            </w:r>
            <w:r w:rsidRPr="00672C51">
              <w:rPr>
                <w:sz w:val="20"/>
                <w:szCs w:val="20"/>
              </w:rPr>
              <w:t xml:space="preserve"> for a summary of comments received </w:t>
            </w:r>
            <w:r>
              <w:rPr>
                <w:sz w:val="20"/>
                <w:szCs w:val="20"/>
              </w:rPr>
              <w:t>and responses provided</w:t>
            </w:r>
            <w:r w:rsidRPr="00672C51">
              <w:rPr>
                <w:sz w:val="20"/>
                <w:szCs w:val="20"/>
              </w:rPr>
              <w:t>.</w:t>
            </w:r>
          </w:p>
          <w:p w14:paraId="641D82A2" w14:textId="41E00FEF" w:rsidR="00966F48" w:rsidRPr="00FB6A96" w:rsidRDefault="00966F48" w:rsidP="003E73B9">
            <w:pPr>
              <w:rPr>
                <w:sz w:val="20"/>
                <w:szCs w:val="20"/>
              </w:rPr>
            </w:pPr>
            <w:r w:rsidRPr="005072BD">
              <w:rPr>
                <w:b/>
                <w:sz w:val="20"/>
                <w:szCs w:val="20"/>
              </w:rPr>
              <w:t>Summary of comments not accepted and reasons</w:t>
            </w:r>
            <w:r>
              <w:rPr>
                <w:sz w:val="20"/>
                <w:szCs w:val="20"/>
              </w:rPr>
              <w:t>:</w:t>
            </w:r>
            <w:r>
              <w:t xml:space="preserve"> </w:t>
            </w:r>
            <w:r>
              <w:rPr>
                <w:sz w:val="20"/>
                <w:szCs w:val="20"/>
              </w:rPr>
              <w:t xml:space="preserve">See </w:t>
            </w:r>
            <w:r w:rsidRPr="00336420">
              <w:rPr>
                <w:b/>
                <w:bCs/>
                <w:sz w:val="20"/>
                <w:szCs w:val="20"/>
              </w:rPr>
              <w:t xml:space="preserve">Appendix </w:t>
            </w:r>
            <w:r w:rsidR="00336420" w:rsidRPr="00336420">
              <w:rPr>
                <w:b/>
                <w:bCs/>
                <w:sz w:val="20"/>
                <w:szCs w:val="20"/>
              </w:rPr>
              <w:t>B</w:t>
            </w:r>
            <w:r w:rsidRPr="00336420">
              <w:rPr>
                <w:sz w:val="20"/>
                <w:szCs w:val="20"/>
              </w:rPr>
              <w:t xml:space="preserve"> for</w:t>
            </w:r>
            <w:r>
              <w:rPr>
                <w:sz w:val="20"/>
                <w:szCs w:val="20"/>
              </w:rPr>
              <w:t xml:space="preserve"> a summary of comments not accepted and reasons.</w:t>
            </w:r>
          </w:p>
        </w:tc>
        <w:tc>
          <w:tcPr>
            <w:tcW w:w="1800" w:type="dxa"/>
          </w:tcPr>
          <w:p w14:paraId="5B2964F4" w14:textId="7AC2BDD6" w:rsidR="00966F48" w:rsidRPr="00FB6A96" w:rsidRDefault="00DD4D06" w:rsidP="003E73B9">
            <w:pPr>
              <w:rPr>
                <w:sz w:val="20"/>
                <w:szCs w:val="20"/>
              </w:rPr>
            </w:pPr>
            <w:r>
              <w:rPr>
                <w:sz w:val="20"/>
                <w:szCs w:val="20"/>
              </w:rPr>
              <w:t>N/A</w:t>
            </w:r>
          </w:p>
        </w:tc>
      </w:tr>
      <w:tr w:rsidR="00652580" w14:paraId="4992A9BE" w14:textId="77777777" w:rsidTr="331F13D3">
        <w:trPr>
          <w:cantSplit/>
        </w:trPr>
        <w:tc>
          <w:tcPr>
            <w:tcW w:w="332" w:type="dxa"/>
            <w:vAlign w:val="center"/>
          </w:tcPr>
          <w:p w14:paraId="5412A0BA" w14:textId="0075653F" w:rsidR="00966F48" w:rsidRDefault="002831B1" w:rsidP="003E73B9">
            <w:pPr>
              <w:rPr>
                <w:sz w:val="20"/>
                <w:szCs w:val="20"/>
              </w:rPr>
            </w:pPr>
            <w:r>
              <w:rPr>
                <w:sz w:val="20"/>
                <w:szCs w:val="20"/>
              </w:rPr>
              <w:t>2</w:t>
            </w:r>
          </w:p>
        </w:tc>
        <w:tc>
          <w:tcPr>
            <w:tcW w:w="1239" w:type="dxa"/>
          </w:tcPr>
          <w:p w14:paraId="69ACE432" w14:textId="77777777" w:rsidR="00966F48" w:rsidRPr="00FB6A96" w:rsidRDefault="00966F48" w:rsidP="003E73B9">
            <w:pPr>
              <w:rPr>
                <w:sz w:val="20"/>
                <w:szCs w:val="20"/>
              </w:rPr>
            </w:pPr>
            <w:r>
              <w:rPr>
                <w:sz w:val="20"/>
                <w:szCs w:val="20"/>
              </w:rPr>
              <w:t>Public Hearing</w:t>
            </w:r>
          </w:p>
        </w:tc>
        <w:tc>
          <w:tcPr>
            <w:tcW w:w="1939" w:type="dxa"/>
          </w:tcPr>
          <w:p w14:paraId="28BB5032" w14:textId="77777777" w:rsidR="00966F48" w:rsidRPr="00FB6A96" w:rsidRDefault="00966F48" w:rsidP="003E73B9">
            <w:pPr>
              <w:rPr>
                <w:sz w:val="20"/>
                <w:szCs w:val="20"/>
              </w:rPr>
            </w:pPr>
            <w:r>
              <w:rPr>
                <w:sz w:val="20"/>
                <w:szCs w:val="20"/>
              </w:rPr>
              <w:t>Non-targeted/ broad community</w:t>
            </w:r>
          </w:p>
        </w:tc>
        <w:tc>
          <w:tcPr>
            <w:tcW w:w="4050" w:type="dxa"/>
          </w:tcPr>
          <w:p w14:paraId="35005592" w14:textId="1ADE715F" w:rsidR="00966F48" w:rsidRDefault="00966F48" w:rsidP="003E73B9">
            <w:pPr>
              <w:rPr>
                <w:sz w:val="20"/>
                <w:szCs w:val="20"/>
              </w:rPr>
            </w:pPr>
            <w:r w:rsidRPr="331F13D3">
              <w:rPr>
                <w:b/>
                <w:bCs/>
                <w:sz w:val="20"/>
                <w:szCs w:val="20"/>
              </w:rPr>
              <w:t>Summary of response/attendance</w:t>
            </w:r>
            <w:r w:rsidRPr="331F13D3">
              <w:rPr>
                <w:sz w:val="20"/>
                <w:szCs w:val="20"/>
              </w:rPr>
              <w:t xml:space="preserve">: </w:t>
            </w:r>
            <w:r w:rsidR="2AB0C2E5" w:rsidRPr="331F13D3">
              <w:rPr>
                <w:sz w:val="20"/>
                <w:szCs w:val="20"/>
              </w:rPr>
              <w:t xml:space="preserve">Commerce and DPHHS held </w:t>
            </w:r>
            <w:r w:rsidR="6BABC02D" w:rsidRPr="331F13D3">
              <w:rPr>
                <w:sz w:val="20"/>
                <w:szCs w:val="20"/>
              </w:rPr>
              <w:t>two</w:t>
            </w:r>
            <w:r w:rsidR="2AB0C2E5" w:rsidRPr="331F13D3">
              <w:rPr>
                <w:sz w:val="20"/>
                <w:szCs w:val="20"/>
              </w:rPr>
              <w:t xml:space="preserve"> public hearing</w:t>
            </w:r>
            <w:r w:rsidR="6BABC02D" w:rsidRPr="331F13D3">
              <w:rPr>
                <w:sz w:val="20"/>
                <w:szCs w:val="20"/>
              </w:rPr>
              <w:t>s</w:t>
            </w:r>
            <w:r w:rsidR="2AB0C2E5" w:rsidRPr="331F13D3">
              <w:rPr>
                <w:sz w:val="20"/>
                <w:szCs w:val="20"/>
              </w:rPr>
              <w:t xml:space="preserve"> on</w:t>
            </w:r>
            <w:r w:rsidR="1CD9E84C" w:rsidRPr="331F13D3">
              <w:rPr>
                <w:sz w:val="20"/>
                <w:szCs w:val="20"/>
              </w:rPr>
              <w:t xml:space="preserve"> April 3, </w:t>
            </w:r>
            <w:proofErr w:type="gramStart"/>
            <w:r w:rsidR="1CD9E84C" w:rsidRPr="331F13D3">
              <w:rPr>
                <w:sz w:val="20"/>
                <w:szCs w:val="20"/>
              </w:rPr>
              <w:t>2024</w:t>
            </w:r>
            <w:proofErr w:type="gramEnd"/>
            <w:r w:rsidR="2AB0C2E5" w:rsidRPr="331F13D3">
              <w:rPr>
                <w:sz w:val="20"/>
                <w:szCs w:val="20"/>
              </w:rPr>
              <w:t xml:space="preserve"> </w:t>
            </w:r>
            <w:r w:rsidR="6BABC02D" w:rsidRPr="331F13D3">
              <w:rPr>
                <w:sz w:val="20"/>
                <w:szCs w:val="20"/>
              </w:rPr>
              <w:t xml:space="preserve">and </w:t>
            </w:r>
            <w:r w:rsidR="6B1ACEDE" w:rsidRPr="331F13D3">
              <w:rPr>
                <w:sz w:val="20"/>
                <w:szCs w:val="20"/>
              </w:rPr>
              <w:t xml:space="preserve">May 29, 2024 </w:t>
            </w:r>
            <w:r w:rsidR="2AB0C2E5" w:rsidRPr="331F13D3">
              <w:rPr>
                <w:sz w:val="20"/>
                <w:szCs w:val="20"/>
              </w:rPr>
              <w:t>at</w:t>
            </w:r>
            <w:r w:rsidR="00EB4082">
              <w:rPr>
                <w:sz w:val="20"/>
                <w:szCs w:val="20"/>
              </w:rPr>
              <w:t xml:space="preserve"> 2 p.m. MST</w:t>
            </w:r>
            <w:r w:rsidR="2AB0C2E5" w:rsidRPr="331F13D3">
              <w:rPr>
                <w:sz w:val="20"/>
                <w:szCs w:val="20"/>
              </w:rPr>
              <w:t xml:space="preserve">, seeking feedback on the published </w:t>
            </w:r>
            <w:r w:rsidR="577E39E3" w:rsidRPr="331F13D3">
              <w:rPr>
                <w:sz w:val="20"/>
                <w:szCs w:val="20"/>
              </w:rPr>
              <w:t>D</w:t>
            </w:r>
            <w:r w:rsidR="2AB0C2E5" w:rsidRPr="331F13D3">
              <w:rPr>
                <w:sz w:val="20"/>
                <w:szCs w:val="20"/>
              </w:rPr>
              <w:t xml:space="preserve">raft </w:t>
            </w:r>
            <w:r w:rsidR="006216A8" w:rsidRPr="331F13D3">
              <w:rPr>
                <w:sz w:val="20"/>
                <w:szCs w:val="20"/>
              </w:rPr>
              <w:t>2024-2025</w:t>
            </w:r>
            <w:r w:rsidR="2AB0C2E5" w:rsidRPr="331F13D3">
              <w:rPr>
                <w:sz w:val="20"/>
                <w:szCs w:val="20"/>
              </w:rPr>
              <w:t xml:space="preserve"> AAP. </w:t>
            </w:r>
          </w:p>
          <w:p w14:paraId="68DF9FD9" w14:textId="6869E2B0" w:rsidR="00966F48" w:rsidRPr="00336420" w:rsidRDefault="00966F48" w:rsidP="003E73B9">
            <w:pPr>
              <w:rPr>
                <w:sz w:val="20"/>
                <w:szCs w:val="20"/>
              </w:rPr>
            </w:pPr>
            <w:r w:rsidRPr="007D63E7">
              <w:rPr>
                <w:b/>
                <w:sz w:val="20"/>
                <w:szCs w:val="20"/>
              </w:rPr>
              <w:t>Summary of comments received</w:t>
            </w:r>
            <w:r>
              <w:rPr>
                <w:sz w:val="20"/>
                <w:szCs w:val="20"/>
              </w:rPr>
              <w:t xml:space="preserve">: See </w:t>
            </w:r>
            <w:r w:rsidRPr="00336420">
              <w:rPr>
                <w:b/>
                <w:bCs/>
                <w:sz w:val="20"/>
                <w:szCs w:val="20"/>
              </w:rPr>
              <w:t xml:space="preserve">Appendix </w:t>
            </w:r>
            <w:r w:rsidR="00336420" w:rsidRPr="00336420">
              <w:rPr>
                <w:b/>
                <w:bCs/>
                <w:sz w:val="20"/>
                <w:szCs w:val="20"/>
              </w:rPr>
              <w:t>B</w:t>
            </w:r>
            <w:r w:rsidRPr="00336420">
              <w:rPr>
                <w:sz w:val="20"/>
                <w:szCs w:val="20"/>
              </w:rPr>
              <w:t xml:space="preserve"> for a summary of comments received and responses provided.</w:t>
            </w:r>
          </w:p>
          <w:p w14:paraId="6604318E" w14:textId="412A672F" w:rsidR="00966F48" w:rsidRPr="00FB6A96" w:rsidRDefault="00966F48" w:rsidP="003E73B9">
            <w:pPr>
              <w:rPr>
                <w:sz w:val="20"/>
                <w:szCs w:val="20"/>
              </w:rPr>
            </w:pPr>
            <w:r w:rsidRPr="00336420">
              <w:rPr>
                <w:b/>
                <w:sz w:val="20"/>
                <w:szCs w:val="20"/>
              </w:rPr>
              <w:t>Summary of comments not accepted and reasons</w:t>
            </w:r>
            <w:r w:rsidRPr="00336420">
              <w:rPr>
                <w:sz w:val="20"/>
                <w:szCs w:val="20"/>
              </w:rPr>
              <w:t xml:space="preserve">: See </w:t>
            </w:r>
            <w:r w:rsidRPr="00336420">
              <w:rPr>
                <w:b/>
                <w:bCs/>
                <w:sz w:val="20"/>
                <w:szCs w:val="20"/>
              </w:rPr>
              <w:t xml:space="preserve">Appendix </w:t>
            </w:r>
            <w:r w:rsidR="00336420">
              <w:rPr>
                <w:b/>
                <w:bCs/>
                <w:sz w:val="20"/>
                <w:szCs w:val="20"/>
              </w:rPr>
              <w:t>B</w:t>
            </w:r>
            <w:r w:rsidRPr="00336420">
              <w:rPr>
                <w:sz w:val="20"/>
                <w:szCs w:val="20"/>
              </w:rPr>
              <w:t xml:space="preserve"> for</w:t>
            </w:r>
            <w:r>
              <w:rPr>
                <w:sz w:val="20"/>
                <w:szCs w:val="20"/>
              </w:rPr>
              <w:t xml:space="preserve"> a summary of comments not accepted and reasons.</w:t>
            </w:r>
          </w:p>
        </w:tc>
        <w:tc>
          <w:tcPr>
            <w:tcW w:w="1800" w:type="dxa"/>
          </w:tcPr>
          <w:p w14:paraId="49EDF9BD" w14:textId="77777777" w:rsidR="00966F48" w:rsidRPr="00FB6A96" w:rsidRDefault="00966F48" w:rsidP="003E73B9">
            <w:pPr>
              <w:rPr>
                <w:sz w:val="20"/>
                <w:szCs w:val="20"/>
              </w:rPr>
            </w:pPr>
            <w:r>
              <w:rPr>
                <w:sz w:val="20"/>
                <w:szCs w:val="20"/>
              </w:rPr>
              <w:t>N/A</w:t>
            </w:r>
          </w:p>
        </w:tc>
      </w:tr>
      <w:tr w:rsidR="00652580" w14:paraId="238A3A73" w14:textId="77777777" w:rsidTr="331F13D3">
        <w:trPr>
          <w:cantSplit/>
        </w:trPr>
        <w:tc>
          <w:tcPr>
            <w:tcW w:w="332" w:type="dxa"/>
            <w:vAlign w:val="center"/>
          </w:tcPr>
          <w:p w14:paraId="1A86AEF3" w14:textId="1DA2C951" w:rsidR="00966F48" w:rsidRDefault="002831B1" w:rsidP="003E73B9">
            <w:pPr>
              <w:rPr>
                <w:sz w:val="20"/>
                <w:szCs w:val="20"/>
              </w:rPr>
            </w:pPr>
            <w:r>
              <w:rPr>
                <w:sz w:val="20"/>
                <w:szCs w:val="20"/>
              </w:rPr>
              <w:t>3</w:t>
            </w:r>
          </w:p>
        </w:tc>
        <w:tc>
          <w:tcPr>
            <w:tcW w:w="1239" w:type="dxa"/>
          </w:tcPr>
          <w:p w14:paraId="3BF25A59" w14:textId="77777777" w:rsidR="00966F48" w:rsidRPr="00FB6A96" w:rsidRDefault="00966F48" w:rsidP="003E73B9">
            <w:pPr>
              <w:rPr>
                <w:sz w:val="20"/>
                <w:szCs w:val="20"/>
              </w:rPr>
            </w:pPr>
            <w:r>
              <w:rPr>
                <w:sz w:val="20"/>
                <w:szCs w:val="20"/>
              </w:rPr>
              <w:t>Newspaper Ad</w:t>
            </w:r>
          </w:p>
        </w:tc>
        <w:tc>
          <w:tcPr>
            <w:tcW w:w="1939" w:type="dxa"/>
          </w:tcPr>
          <w:p w14:paraId="5B80D967" w14:textId="77777777" w:rsidR="00966F48" w:rsidRPr="00FB6A96" w:rsidRDefault="00966F48" w:rsidP="003E73B9">
            <w:pPr>
              <w:rPr>
                <w:sz w:val="20"/>
                <w:szCs w:val="20"/>
              </w:rPr>
            </w:pPr>
            <w:r>
              <w:rPr>
                <w:sz w:val="20"/>
                <w:szCs w:val="20"/>
              </w:rPr>
              <w:t>Non-targeted/ broad community</w:t>
            </w:r>
          </w:p>
        </w:tc>
        <w:tc>
          <w:tcPr>
            <w:tcW w:w="4050" w:type="dxa"/>
          </w:tcPr>
          <w:p w14:paraId="39C99102" w14:textId="68FCF679" w:rsidR="002831B1" w:rsidRDefault="00966F48" w:rsidP="003E73B9">
            <w:pPr>
              <w:rPr>
                <w:sz w:val="20"/>
                <w:szCs w:val="20"/>
              </w:rPr>
            </w:pPr>
            <w:r w:rsidRPr="009C3A00">
              <w:rPr>
                <w:b/>
                <w:sz w:val="20"/>
                <w:szCs w:val="20"/>
              </w:rPr>
              <w:t>Summary of response/attendance</w:t>
            </w:r>
            <w:r>
              <w:rPr>
                <w:sz w:val="20"/>
                <w:szCs w:val="20"/>
              </w:rPr>
              <w:t xml:space="preserve">: </w:t>
            </w:r>
            <w:r w:rsidRPr="009C3A00">
              <w:rPr>
                <w:sz w:val="20"/>
                <w:szCs w:val="20"/>
              </w:rPr>
              <w:t xml:space="preserve">Commerce announced </w:t>
            </w:r>
            <w:r>
              <w:rPr>
                <w:sz w:val="20"/>
                <w:szCs w:val="20"/>
              </w:rPr>
              <w:t>the development and availability of the</w:t>
            </w:r>
            <w:r w:rsidRPr="009C3A00">
              <w:rPr>
                <w:sz w:val="20"/>
                <w:szCs w:val="20"/>
              </w:rPr>
              <w:t xml:space="preserve"> </w:t>
            </w:r>
            <w:r w:rsidR="000A5293">
              <w:rPr>
                <w:sz w:val="20"/>
                <w:szCs w:val="20"/>
              </w:rPr>
              <w:t>D</w:t>
            </w:r>
            <w:r w:rsidRPr="009C3A00">
              <w:rPr>
                <w:sz w:val="20"/>
                <w:szCs w:val="20"/>
              </w:rPr>
              <w:t xml:space="preserve">raft </w:t>
            </w:r>
            <w:r w:rsidR="006216A8">
              <w:rPr>
                <w:sz w:val="20"/>
                <w:szCs w:val="20"/>
              </w:rPr>
              <w:t>2024-2025</w:t>
            </w:r>
            <w:r w:rsidR="00DD4D06">
              <w:rPr>
                <w:sz w:val="20"/>
                <w:szCs w:val="20"/>
              </w:rPr>
              <w:t xml:space="preserve"> </w:t>
            </w:r>
            <w:r w:rsidRPr="009C3A00">
              <w:rPr>
                <w:sz w:val="20"/>
                <w:szCs w:val="20"/>
              </w:rPr>
              <w:t>AAP by publishing advertisements in newspapers across Montana.</w:t>
            </w:r>
            <w:r>
              <w:rPr>
                <w:sz w:val="20"/>
                <w:szCs w:val="20"/>
              </w:rPr>
              <w:t xml:space="preserve"> </w:t>
            </w:r>
          </w:p>
          <w:p w14:paraId="792132C9" w14:textId="38AC01B0" w:rsidR="00966F48" w:rsidRPr="00336420" w:rsidRDefault="00966F48" w:rsidP="003E73B9">
            <w:pPr>
              <w:rPr>
                <w:sz w:val="20"/>
                <w:szCs w:val="20"/>
              </w:rPr>
            </w:pPr>
            <w:r w:rsidRPr="009067FD">
              <w:rPr>
                <w:b/>
                <w:sz w:val="20"/>
                <w:szCs w:val="20"/>
              </w:rPr>
              <w:t>Summary of comments received</w:t>
            </w:r>
            <w:r>
              <w:rPr>
                <w:sz w:val="20"/>
                <w:szCs w:val="20"/>
              </w:rPr>
              <w:t xml:space="preserve">: </w:t>
            </w:r>
            <w:r w:rsidRPr="00672C51">
              <w:rPr>
                <w:sz w:val="20"/>
                <w:szCs w:val="20"/>
              </w:rPr>
              <w:t xml:space="preserve">See </w:t>
            </w:r>
            <w:r w:rsidRPr="00336420">
              <w:rPr>
                <w:b/>
                <w:bCs/>
                <w:sz w:val="20"/>
                <w:szCs w:val="20"/>
              </w:rPr>
              <w:t xml:space="preserve">Appendix </w:t>
            </w:r>
            <w:r w:rsidR="00336420" w:rsidRPr="00336420">
              <w:rPr>
                <w:b/>
                <w:bCs/>
                <w:sz w:val="20"/>
                <w:szCs w:val="20"/>
              </w:rPr>
              <w:t>B</w:t>
            </w:r>
            <w:r w:rsidRPr="00336420">
              <w:rPr>
                <w:sz w:val="20"/>
                <w:szCs w:val="20"/>
              </w:rPr>
              <w:t xml:space="preserve"> for a summary of comments received and responses provided.</w:t>
            </w:r>
          </w:p>
          <w:p w14:paraId="09A63837" w14:textId="64AE7B00" w:rsidR="00966F48" w:rsidRPr="00FB6A96" w:rsidRDefault="00966F48" w:rsidP="003E73B9">
            <w:pPr>
              <w:rPr>
                <w:sz w:val="20"/>
                <w:szCs w:val="20"/>
              </w:rPr>
            </w:pPr>
            <w:r w:rsidRPr="00336420">
              <w:rPr>
                <w:b/>
                <w:sz w:val="20"/>
                <w:szCs w:val="20"/>
              </w:rPr>
              <w:t>Summary of comments not accepted and reasons</w:t>
            </w:r>
            <w:r w:rsidRPr="00084308">
              <w:rPr>
                <w:sz w:val="20"/>
                <w:szCs w:val="20"/>
              </w:rPr>
              <w:t xml:space="preserve">: See </w:t>
            </w:r>
            <w:r w:rsidRPr="00336420">
              <w:rPr>
                <w:b/>
                <w:bCs/>
                <w:sz w:val="20"/>
                <w:szCs w:val="20"/>
              </w:rPr>
              <w:t xml:space="preserve">Appendix </w:t>
            </w:r>
            <w:r w:rsidR="00336420" w:rsidRPr="00336420">
              <w:rPr>
                <w:b/>
                <w:bCs/>
                <w:sz w:val="20"/>
                <w:szCs w:val="20"/>
              </w:rPr>
              <w:t>B</w:t>
            </w:r>
            <w:r w:rsidRPr="00336420">
              <w:rPr>
                <w:sz w:val="20"/>
                <w:szCs w:val="20"/>
              </w:rPr>
              <w:t xml:space="preserve"> for a summary of comments not accepted and reasons</w:t>
            </w:r>
            <w:r>
              <w:rPr>
                <w:sz w:val="20"/>
                <w:szCs w:val="20"/>
              </w:rPr>
              <w:t>.</w:t>
            </w:r>
          </w:p>
        </w:tc>
        <w:tc>
          <w:tcPr>
            <w:tcW w:w="1800" w:type="dxa"/>
          </w:tcPr>
          <w:p w14:paraId="48C75EBC" w14:textId="77777777" w:rsidR="00966F48" w:rsidRPr="00FB6A96" w:rsidRDefault="00966F48" w:rsidP="003E73B9">
            <w:pPr>
              <w:rPr>
                <w:sz w:val="20"/>
                <w:szCs w:val="20"/>
              </w:rPr>
            </w:pPr>
            <w:r>
              <w:rPr>
                <w:sz w:val="20"/>
                <w:szCs w:val="20"/>
              </w:rPr>
              <w:t>N/A</w:t>
            </w:r>
          </w:p>
        </w:tc>
      </w:tr>
      <w:tr w:rsidR="00652580" w14:paraId="2641223B" w14:textId="77777777" w:rsidTr="331F13D3">
        <w:trPr>
          <w:cantSplit/>
        </w:trPr>
        <w:tc>
          <w:tcPr>
            <w:tcW w:w="332" w:type="dxa"/>
            <w:vAlign w:val="center"/>
          </w:tcPr>
          <w:p w14:paraId="08F113B0" w14:textId="0D12AFD2" w:rsidR="00966F48" w:rsidRDefault="002831B1" w:rsidP="003E73B9">
            <w:pPr>
              <w:rPr>
                <w:sz w:val="20"/>
                <w:szCs w:val="20"/>
              </w:rPr>
            </w:pPr>
            <w:r>
              <w:rPr>
                <w:sz w:val="20"/>
                <w:szCs w:val="20"/>
              </w:rPr>
              <w:lastRenderedPageBreak/>
              <w:t>4</w:t>
            </w:r>
          </w:p>
        </w:tc>
        <w:tc>
          <w:tcPr>
            <w:tcW w:w="1239" w:type="dxa"/>
          </w:tcPr>
          <w:p w14:paraId="238D0C79" w14:textId="77777777" w:rsidR="00966F48" w:rsidRPr="00FB6A96" w:rsidRDefault="00966F48" w:rsidP="003E73B9">
            <w:pPr>
              <w:rPr>
                <w:sz w:val="20"/>
                <w:szCs w:val="20"/>
              </w:rPr>
            </w:pPr>
            <w:r>
              <w:rPr>
                <w:sz w:val="20"/>
                <w:szCs w:val="20"/>
              </w:rPr>
              <w:t>Internet Outreach</w:t>
            </w:r>
          </w:p>
        </w:tc>
        <w:tc>
          <w:tcPr>
            <w:tcW w:w="1939" w:type="dxa"/>
          </w:tcPr>
          <w:p w14:paraId="75244702" w14:textId="77777777" w:rsidR="00966F48" w:rsidRPr="00FB6A96" w:rsidRDefault="00966F48" w:rsidP="003E73B9">
            <w:pPr>
              <w:rPr>
                <w:sz w:val="20"/>
                <w:szCs w:val="20"/>
              </w:rPr>
            </w:pPr>
            <w:r>
              <w:rPr>
                <w:sz w:val="20"/>
                <w:szCs w:val="20"/>
              </w:rPr>
              <w:t>Non-targeted/ broad community</w:t>
            </w:r>
          </w:p>
        </w:tc>
        <w:tc>
          <w:tcPr>
            <w:tcW w:w="4050" w:type="dxa"/>
          </w:tcPr>
          <w:p w14:paraId="0BC51BC1" w14:textId="504A115C" w:rsidR="00966F48" w:rsidRDefault="00966F48" w:rsidP="003E73B9">
            <w:pPr>
              <w:rPr>
                <w:sz w:val="20"/>
                <w:szCs w:val="20"/>
              </w:rPr>
            </w:pPr>
            <w:r w:rsidRPr="00C46DFF">
              <w:rPr>
                <w:b/>
                <w:sz w:val="20"/>
                <w:szCs w:val="20"/>
              </w:rPr>
              <w:t>Summary of response/attendance</w:t>
            </w:r>
            <w:r>
              <w:rPr>
                <w:sz w:val="20"/>
                <w:szCs w:val="20"/>
              </w:rPr>
              <w:t>:</w:t>
            </w:r>
            <w:r>
              <w:t xml:space="preserve"> </w:t>
            </w:r>
            <w:r w:rsidRPr="00C46DFF">
              <w:rPr>
                <w:sz w:val="20"/>
                <w:szCs w:val="20"/>
              </w:rPr>
              <w:t xml:space="preserve">Commerce announced </w:t>
            </w:r>
            <w:r>
              <w:rPr>
                <w:sz w:val="20"/>
                <w:szCs w:val="20"/>
              </w:rPr>
              <w:t>the development and availability of the</w:t>
            </w:r>
            <w:r w:rsidRPr="00C46DFF">
              <w:rPr>
                <w:sz w:val="20"/>
                <w:szCs w:val="20"/>
              </w:rPr>
              <w:t xml:space="preserve"> </w:t>
            </w:r>
            <w:r w:rsidR="000A5293">
              <w:rPr>
                <w:sz w:val="20"/>
                <w:szCs w:val="20"/>
              </w:rPr>
              <w:t>D</w:t>
            </w:r>
            <w:r w:rsidRPr="00C46DFF">
              <w:rPr>
                <w:sz w:val="20"/>
                <w:szCs w:val="20"/>
              </w:rPr>
              <w:t xml:space="preserve">raft </w:t>
            </w:r>
            <w:r w:rsidR="006216A8">
              <w:rPr>
                <w:sz w:val="20"/>
                <w:szCs w:val="20"/>
              </w:rPr>
              <w:t>2024-2025</w:t>
            </w:r>
            <w:r>
              <w:rPr>
                <w:sz w:val="20"/>
                <w:szCs w:val="20"/>
              </w:rPr>
              <w:t xml:space="preserve"> </w:t>
            </w:r>
            <w:r w:rsidRPr="00C46DFF">
              <w:rPr>
                <w:sz w:val="20"/>
                <w:szCs w:val="20"/>
              </w:rPr>
              <w:t xml:space="preserve">AAP on </w:t>
            </w:r>
            <w:r>
              <w:rPr>
                <w:sz w:val="20"/>
                <w:szCs w:val="20"/>
              </w:rPr>
              <w:t>its</w:t>
            </w:r>
            <w:r w:rsidRPr="00C46DFF">
              <w:rPr>
                <w:sz w:val="20"/>
                <w:szCs w:val="20"/>
              </w:rPr>
              <w:t xml:space="preserve"> website</w:t>
            </w:r>
            <w:r>
              <w:rPr>
                <w:sz w:val="20"/>
                <w:szCs w:val="20"/>
              </w:rPr>
              <w:t>, as well as posted all plan documents</w:t>
            </w:r>
            <w:r w:rsidRPr="00C46DFF">
              <w:rPr>
                <w:sz w:val="20"/>
                <w:szCs w:val="20"/>
              </w:rPr>
              <w:t xml:space="preserve"> for public review.</w:t>
            </w:r>
          </w:p>
          <w:p w14:paraId="23C670B0" w14:textId="759F68D0" w:rsidR="00966F48" w:rsidRPr="00336420" w:rsidRDefault="00966F48" w:rsidP="003E73B9">
            <w:pPr>
              <w:rPr>
                <w:sz w:val="20"/>
                <w:szCs w:val="20"/>
              </w:rPr>
            </w:pPr>
            <w:r w:rsidRPr="00336420">
              <w:rPr>
                <w:b/>
                <w:sz w:val="20"/>
                <w:szCs w:val="20"/>
              </w:rPr>
              <w:t>Summary of comments received</w:t>
            </w:r>
            <w:r w:rsidRPr="00336420">
              <w:rPr>
                <w:sz w:val="20"/>
                <w:szCs w:val="20"/>
              </w:rPr>
              <w:t xml:space="preserve">: See </w:t>
            </w:r>
            <w:r w:rsidRPr="00336420">
              <w:rPr>
                <w:b/>
                <w:bCs/>
                <w:sz w:val="20"/>
                <w:szCs w:val="20"/>
              </w:rPr>
              <w:t xml:space="preserve">Appendix </w:t>
            </w:r>
            <w:r w:rsidR="00336420" w:rsidRPr="00336420">
              <w:rPr>
                <w:b/>
                <w:bCs/>
                <w:sz w:val="20"/>
                <w:szCs w:val="20"/>
              </w:rPr>
              <w:t>B</w:t>
            </w:r>
            <w:r w:rsidRPr="00336420">
              <w:rPr>
                <w:sz w:val="20"/>
                <w:szCs w:val="20"/>
              </w:rPr>
              <w:t xml:space="preserve"> for a summary of comments received and responses provided.</w:t>
            </w:r>
          </w:p>
          <w:p w14:paraId="0EDDE4E9" w14:textId="7F84DA36" w:rsidR="00966F48" w:rsidRPr="00FB6A96" w:rsidRDefault="00966F48" w:rsidP="003E73B9">
            <w:pPr>
              <w:rPr>
                <w:sz w:val="20"/>
                <w:szCs w:val="20"/>
              </w:rPr>
            </w:pPr>
            <w:r w:rsidRPr="00336420">
              <w:rPr>
                <w:b/>
                <w:sz w:val="20"/>
                <w:szCs w:val="20"/>
              </w:rPr>
              <w:t>Summary of comments not accepted and reasons</w:t>
            </w:r>
            <w:r w:rsidRPr="00336420">
              <w:rPr>
                <w:sz w:val="20"/>
                <w:szCs w:val="20"/>
              </w:rPr>
              <w:t xml:space="preserve">: See </w:t>
            </w:r>
            <w:r w:rsidRPr="00336420">
              <w:rPr>
                <w:b/>
                <w:bCs/>
                <w:sz w:val="20"/>
                <w:szCs w:val="20"/>
              </w:rPr>
              <w:t xml:space="preserve">Appendix </w:t>
            </w:r>
            <w:r w:rsidR="00336420" w:rsidRPr="00336420">
              <w:rPr>
                <w:b/>
                <w:bCs/>
                <w:sz w:val="20"/>
                <w:szCs w:val="20"/>
              </w:rPr>
              <w:t>B</w:t>
            </w:r>
            <w:r w:rsidRPr="00336420">
              <w:rPr>
                <w:sz w:val="20"/>
                <w:szCs w:val="20"/>
              </w:rPr>
              <w:t xml:space="preserve"> for a</w:t>
            </w:r>
            <w:r>
              <w:rPr>
                <w:sz w:val="20"/>
                <w:szCs w:val="20"/>
              </w:rPr>
              <w:t xml:space="preserve"> summary of comments not accepted and reasons.</w:t>
            </w:r>
          </w:p>
        </w:tc>
        <w:tc>
          <w:tcPr>
            <w:tcW w:w="1800" w:type="dxa"/>
          </w:tcPr>
          <w:p w14:paraId="71A3715E" w14:textId="51417E78" w:rsidR="00966F48" w:rsidRPr="00FB6A96" w:rsidRDefault="003237C9" w:rsidP="003E73B9">
            <w:pPr>
              <w:rPr>
                <w:sz w:val="20"/>
                <w:szCs w:val="20"/>
              </w:rPr>
            </w:pPr>
            <w:r w:rsidRPr="003237C9">
              <w:rPr>
                <w:rStyle w:val="Hyperlink"/>
                <w:sz w:val="20"/>
                <w:szCs w:val="20"/>
              </w:rPr>
              <w:t>https://commerce.mt.gov/Consolidated-Plan</w:t>
            </w:r>
            <w:r>
              <w:rPr>
                <w:rStyle w:val="Hyperlink"/>
                <w:sz w:val="20"/>
                <w:szCs w:val="20"/>
              </w:rPr>
              <w:t xml:space="preserve"> </w:t>
            </w:r>
          </w:p>
        </w:tc>
      </w:tr>
      <w:tr w:rsidR="00652580" w14:paraId="35AE790F" w14:textId="77777777" w:rsidTr="331F13D3">
        <w:trPr>
          <w:cantSplit/>
        </w:trPr>
        <w:tc>
          <w:tcPr>
            <w:tcW w:w="332" w:type="dxa"/>
            <w:vAlign w:val="center"/>
          </w:tcPr>
          <w:p w14:paraId="2BCAE74F" w14:textId="2B630530" w:rsidR="00966F48" w:rsidRDefault="002831B1" w:rsidP="003E73B9">
            <w:pPr>
              <w:rPr>
                <w:sz w:val="20"/>
                <w:szCs w:val="20"/>
              </w:rPr>
            </w:pPr>
            <w:r>
              <w:rPr>
                <w:sz w:val="20"/>
                <w:szCs w:val="20"/>
              </w:rPr>
              <w:t>5</w:t>
            </w:r>
          </w:p>
        </w:tc>
        <w:tc>
          <w:tcPr>
            <w:tcW w:w="1239" w:type="dxa"/>
          </w:tcPr>
          <w:p w14:paraId="22188C2E" w14:textId="77777777" w:rsidR="00966F48" w:rsidRPr="00FB6A96" w:rsidRDefault="00966F48" w:rsidP="003E73B9">
            <w:pPr>
              <w:rPr>
                <w:sz w:val="20"/>
                <w:szCs w:val="20"/>
              </w:rPr>
            </w:pPr>
            <w:r>
              <w:rPr>
                <w:sz w:val="20"/>
                <w:szCs w:val="20"/>
              </w:rPr>
              <w:t>Other – Public Repositories</w:t>
            </w:r>
          </w:p>
        </w:tc>
        <w:tc>
          <w:tcPr>
            <w:tcW w:w="1939" w:type="dxa"/>
          </w:tcPr>
          <w:p w14:paraId="22C68952" w14:textId="77777777" w:rsidR="00966F48" w:rsidRPr="00FB6A96" w:rsidRDefault="00966F48" w:rsidP="003E73B9">
            <w:pPr>
              <w:rPr>
                <w:sz w:val="20"/>
                <w:szCs w:val="20"/>
              </w:rPr>
            </w:pPr>
            <w:r>
              <w:rPr>
                <w:sz w:val="20"/>
                <w:szCs w:val="20"/>
              </w:rPr>
              <w:t>Non-targeted/ broad community</w:t>
            </w:r>
          </w:p>
        </w:tc>
        <w:tc>
          <w:tcPr>
            <w:tcW w:w="4050" w:type="dxa"/>
          </w:tcPr>
          <w:p w14:paraId="358EC2A4" w14:textId="6B4435EC" w:rsidR="00966F48" w:rsidRDefault="00966F48" w:rsidP="003E73B9">
            <w:pPr>
              <w:rPr>
                <w:sz w:val="20"/>
                <w:szCs w:val="20"/>
              </w:rPr>
            </w:pPr>
            <w:r w:rsidRPr="00072B28">
              <w:rPr>
                <w:b/>
                <w:sz w:val="20"/>
                <w:szCs w:val="20"/>
              </w:rPr>
              <w:t>Summary of response/attendance</w:t>
            </w:r>
            <w:r>
              <w:rPr>
                <w:sz w:val="20"/>
                <w:szCs w:val="20"/>
              </w:rPr>
              <w:t>:</w:t>
            </w:r>
            <w:r>
              <w:t xml:space="preserve"> </w:t>
            </w:r>
            <w:r w:rsidRPr="000147F4">
              <w:rPr>
                <w:sz w:val="20"/>
                <w:szCs w:val="20"/>
              </w:rPr>
              <w:t>Commerce provide</w:t>
            </w:r>
            <w:r>
              <w:rPr>
                <w:sz w:val="20"/>
                <w:szCs w:val="20"/>
              </w:rPr>
              <w:t>d</w:t>
            </w:r>
            <w:r w:rsidRPr="000147F4">
              <w:rPr>
                <w:sz w:val="20"/>
                <w:szCs w:val="20"/>
              </w:rPr>
              <w:t xml:space="preserve"> </w:t>
            </w:r>
            <w:r>
              <w:rPr>
                <w:sz w:val="20"/>
                <w:szCs w:val="20"/>
              </w:rPr>
              <w:t xml:space="preserve">the public with access to </w:t>
            </w:r>
            <w:proofErr w:type="gramStart"/>
            <w:r>
              <w:rPr>
                <w:sz w:val="20"/>
                <w:szCs w:val="20"/>
              </w:rPr>
              <w:t>hard</w:t>
            </w:r>
            <w:r w:rsidRPr="000147F4">
              <w:rPr>
                <w:sz w:val="20"/>
                <w:szCs w:val="20"/>
              </w:rPr>
              <w:t>copies</w:t>
            </w:r>
            <w:proofErr w:type="gramEnd"/>
            <w:r w:rsidRPr="000147F4">
              <w:rPr>
                <w:sz w:val="20"/>
                <w:szCs w:val="20"/>
              </w:rPr>
              <w:t xml:space="preserve"> of the </w:t>
            </w:r>
            <w:r w:rsidR="000A5293">
              <w:rPr>
                <w:sz w:val="20"/>
                <w:szCs w:val="20"/>
              </w:rPr>
              <w:t>D</w:t>
            </w:r>
            <w:r w:rsidRPr="000147F4">
              <w:rPr>
                <w:sz w:val="20"/>
                <w:szCs w:val="20"/>
              </w:rPr>
              <w:t xml:space="preserve">raft </w:t>
            </w:r>
            <w:r w:rsidR="006216A8">
              <w:rPr>
                <w:sz w:val="20"/>
                <w:szCs w:val="20"/>
              </w:rPr>
              <w:t>2024-2025</w:t>
            </w:r>
            <w:r>
              <w:rPr>
                <w:sz w:val="20"/>
                <w:szCs w:val="20"/>
              </w:rPr>
              <w:t xml:space="preserve"> </w:t>
            </w:r>
            <w:r w:rsidRPr="000147F4">
              <w:rPr>
                <w:sz w:val="20"/>
                <w:szCs w:val="20"/>
              </w:rPr>
              <w:t>AAP at over 20 publicly accessible locations across Montana.</w:t>
            </w:r>
          </w:p>
          <w:p w14:paraId="40CDDBBB" w14:textId="15135756" w:rsidR="00966F48" w:rsidRPr="00336420" w:rsidRDefault="00966F48" w:rsidP="003E73B9">
            <w:pPr>
              <w:rPr>
                <w:sz w:val="20"/>
                <w:szCs w:val="20"/>
              </w:rPr>
            </w:pPr>
            <w:r w:rsidRPr="00336420">
              <w:rPr>
                <w:b/>
                <w:sz w:val="20"/>
                <w:szCs w:val="20"/>
              </w:rPr>
              <w:t>Summary of comments received</w:t>
            </w:r>
            <w:r w:rsidRPr="00336420">
              <w:rPr>
                <w:sz w:val="20"/>
                <w:szCs w:val="20"/>
              </w:rPr>
              <w:t xml:space="preserve">: See </w:t>
            </w:r>
            <w:r w:rsidRPr="00336420">
              <w:rPr>
                <w:b/>
                <w:bCs/>
                <w:sz w:val="20"/>
                <w:szCs w:val="20"/>
              </w:rPr>
              <w:t xml:space="preserve">Appendix </w:t>
            </w:r>
            <w:r w:rsidR="00336420" w:rsidRPr="00336420">
              <w:rPr>
                <w:b/>
                <w:bCs/>
                <w:sz w:val="20"/>
                <w:szCs w:val="20"/>
              </w:rPr>
              <w:t>B</w:t>
            </w:r>
            <w:r w:rsidRPr="00336420">
              <w:rPr>
                <w:sz w:val="20"/>
                <w:szCs w:val="20"/>
              </w:rPr>
              <w:t xml:space="preserve"> for a summary of comments received and responses provided.</w:t>
            </w:r>
          </w:p>
          <w:p w14:paraId="347359B8" w14:textId="44ABFCF0" w:rsidR="00966F48" w:rsidRPr="00FB6A96" w:rsidRDefault="00966F48" w:rsidP="003E73B9">
            <w:pPr>
              <w:rPr>
                <w:sz w:val="20"/>
                <w:szCs w:val="20"/>
              </w:rPr>
            </w:pPr>
            <w:r w:rsidRPr="00336420">
              <w:rPr>
                <w:b/>
                <w:sz w:val="20"/>
                <w:szCs w:val="20"/>
              </w:rPr>
              <w:t>Summary of comments not accepted and reasons</w:t>
            </w:r>
            <w:r w:rsidRPr="00084308">
              <w:rPr>
                <w:sz w:val="20"/>
                <w:szCs w:val="20"/>
              </w:rPr>
              <w:t xml:space="preserve">: See </w:t>
            </w:r>
            <w:r w:rsidRPr="00336420">
              <w:rPr>
                <w:b/>
                <w:bCs/>
                <w:sz w:val="20"/>
                <w:szCs w:val="20"/>
              </w:rPr>
              <w:t xml:space="preserve">Appendix </w:t>
            </w:r>
            <w:r w:rsidR="00336420" w:rsidRPr="00336420">
              <w:rPr>
                <w:b/>
                <w:bCs/>
                <w:sz w:val="20"/>
                <w:szCs w:val="20"/>
              </w:rPr>
              <w:t>B</w:t>
            </w:r>
            <w:r w:rsidRPr="00336420">
              <w:rPr>
                <w:sz w:val="20"/>
                <w:szCs w:val="20"/>
              </w:rPr>
              <w:t xml:space="preserve"> for</w:t>
            </w:r>
            <w:r>
              <w:rPr>
                <w:sz w:val="20"/>
                <w:szCs w:val="20"/>
              </w:rPr>
              <w:t xml:space="preserve"> a summary of comments not accepted and reasons.</w:t>
            </w:r>
          </w:p>
        </w:tc>
        <w:tc>
          <w:tcPr>
            <w:tcW w:w="1800" w:type="dxa"/>
          </w:tcPr>
          <w:p w14:paraId="4845B7F1" w14:textId="74EB7C19" w:rsidR="00966F48" w:rsidRPr="003237C9" w:rsidRDefault="000C468A" w:rsidP="003E73B9">
            <w:pPr>
              <w:rPr>
                <w:sz w:val="20"/>
                <w:szCs w:val="20"/>
              </w:rPr>
            </w:pPr>
            <w:hyperlink r:id="rId24" w:history="1">
              <w:r w:rsidR="003237C9" w:rsidRPr="003237C9">
                <w:rPr>
                  <w:rStyle w:val="Hyperlink"/>
                  <w:sz w:val="20"/>
                  <w:szCs w:val="20"/>
                </w:rPr>
                <w:t>https://commerce.mt.gov/Consolidated-Plan</w:t>
              </w:r>
            </w:hyperlink>
            <w:r w:rsidR="003237C9" w:rsidRPr="003237C9">
              <w:rPr>
                <w:sz w:val="20"/>
                <w:szCs w:val="20"/>
              </w:rPr>
              <w:t xml:space="preserve"> </w:t>
            </w:r>
          </w:p>
        </w:tc>
      </w:tr>
    </w:tbl>
    <w:p w14:paraId="01670C7E" w14:textId="77777777" w:rsidR="00966F48" w:rsidRDefault="00966F48" w:rsidP="00966F48"/>
    <w:p w14:paraId="784C332A" w14:textId="77777777" w:rsidR="000A6F75" w:rsidRDefault="000A6F75" w:rsidP="000A6F75"/>
    <w:p w14:paraId="246EFF8B" w14:textId="768CA5EF" w:rsidR="00FA5C4D" w:rsidRDefault="00FA5C4D" w:rsidP="003747A4">
      <w:pPr>
        <w:pStyle w:val="Heading1"/>
      </w:pPr>
      <w:bookmarkStart w:id="35" w:name="_Toc72413489"/>
      <w:r>
        <w:t>Annual Action Plan</w:t>
      </w:r>
      <w:bookmarkEnd w:id="35"/>
    </w:p>
    <w:p w14:paraId="5516D783" w14:textId="77777777" w:rsidR="007E5BF0" w:rsidRDefault="007E5BF0" w:rsidP="003747A4">
      <w:pPr>
        <w:pStyle w:val="Heading2"/>
      </w:pPr>
      <w:bookmarkStart w:id="36" w:name="_Toc70505035"/>
      <w:bookmarkStart w:id="37" w:name="_Toc72413490"/>
      <w:bookmarkEnd w:id="11"/>
      <w:r>
        <w:t>AP-15 Expected Resources – 91.320(c</w:t>
      </w:r>
      <w:proofErr w:type="gramStart"/>
      <w:r>
        <w:t>)(</w:t>
      </w:r>
      <w:proofErr w:type="gramEnd"/>
      <w:r>
        <w:t>1,2)</w:t>
      </w:r>
      <w:bookmarkEnd w:id="36"/>
      <w:bookmarkEnd w:id="37"/>
    </w:p>
    <w:p w14:paraId="6856A663" w14:textId="77777777" w:rsidR="007E5BF0" w:rsidRDefault="007E5BF0" w:rsidP="007E5BF0">
      <w:pPr>
        <w:pStyle w:val="Heading3"/>
      </w:pPr>
      <w:r>
        <w:t>Introduction</w:t>
      </w:r>
    </w:p>
    <w:p w14:paraId="5F3A1016" w14:textId="1EA445D4" w:rsidR="007E5BF0" w:rsidRDefault="007E5BF0" w:rsidP="007E5BF0">
      <w:r>
        <w:t xml:space="preserve">This section describes the HUD resources expected to be allocated by program throughout the state of Montana during Plan Year </w:t>
      </w:r>
      <w:r w:rsidR="006216A8">
        <w:t xml:space="preserve">5 </w:t>
      </w:r>
      <w:r>
        <w:t xml:space="preserve">(April 1, </w:t>
      </w:r>
      <w:r w:rsidR="006216A8">
        <w:t>2024</w:t>
      </w:r>
      <w:r w:rsidR="00C05F18">
        <w:t>,</w:t>
      </w:r>
      <w:r>
        <w:t xml:space="preserve"> to March 31, </w:t>
      </w:r>
      <w:r w:rsidR="006216A8">
        <w:t>2025</w:t>
      </w:r>
      <w:r w:rsidR="00EB4082">
        <w:t>).</w:t>
      </w:r>
      <w:r w:rsidR="00FD1B8C">
        <w:t xml:space="preserve"> </w:t>
      </w:r>
    </w:p>
    <w:p w14:paraId="0568617E" w14:textId="77777777" w:rsidR="00844FDE" w:rsidRDefault="00844FDE" w:rsidP="007E5BF0"/>
    <w:p w14:paraId="0274B8B7" w14:textId="4F2FD40E" w:rsidR="00844FDE" w:rsidRDefault="00844FDE" w:rsidP="00844FDE">
      <w:pPr>
        <w:rPr>
          <w:rFonts w:asciiTheme="majorHAnsi" w:hAnsiTheme="majorHAnsi" w:cstheme="majorHAnsi"/>
          <w:b/>
          <w:bCs/>
          <w:i/>
          <w:iCs/>
          <w:sz w:val="24"/>
          <w:szCs w:val="24"/>
        </w:rPr>
      </w:pPr>
      <w:r w:rsidRPr="00A838FC">
        <w:rPr>
          <w:rFonts w:asciiTheme="majorHAnsi" w:hAnsiTheme="majorHAnsi" w:cstheme="majorHAnsi"/>
          <w:b/>
          <w:bCs/>
          <w:i/>
          <w:iCs/>
          <w:sz w:val="24"/>
          <w:szCs w:val="24"/>
        </w:rPr>
        <w:t>Allocation Estimates</w:t>
      </w:r>
    </w:p>
    <w:p w14:paraId="5187F9F4" w14:textId="5D60FE1E" w:rsidR="007E5BF0" w:rsidRDefault="6B0F398B" w:rsidP="007E5BF0">
      <w:r>
        <w:t>This section describes the HUD resources expected to be allocated by program throughout the state of Montana during Plan Year 5 (April 1, 2024, to March 31, 2025)</w:t>
      </w:r>
      <w:r w:rsidR="35334576">
        <w:t>.</w:t>
      </w:r>
    </w:p>
    <w:p w14:paraId="182BC206" w14:textId="6216F8AF" w:rsidR="16663A5A" w:rsidRDefault="16663A5A" w:rsidP="16663A5A"/>
    <w:p w14:paraId="688CD6F0" w14:textId="671D8BB0" w:rsidR="007E5BF0" w:rsidRDefault="66AE8A10" w:rsidP="007E5BF0">
      <w:r>
        <w:t xml:space="preserve">CDBG general planning and administration allocations are capped at 20% of the annual CDBG allocation in addition to eligible program income received during the program year. </w:t>
      </w:r>
      <w:r w:rsidR="364A223A">
        <w:t xml:space="preserve">For Year </w:t>
      </w:r>
      <w:r w:rsidR="587C0222">
        <w:t>5</w:t>
      </w:r>
      <w:r w:rsidR="364A223A">
        <w:t xml:space="preserve">, Montana will cap its general planning and administration allocations at 20% of its </w:t>
      </w:r>
      <w:r w:rsidR="00EB4082">
        <w:t>allocation and</w:t>
      </w:r>
      <w:r w:rsidR="364A223A">
        <w:t xml:space="preserve"> will not use any portion of program income for general planning and administration costs. </w:t>
      </w:r>
      <w:r>
        <w:t>The use of administrative funds for the state will not exceed 3% plus $100,000</w:t>
      </w:r>
      <w:r w:rsidR="1EBE7131">
        <w:t xml:space="preserve">, which is included in the </w:t>
      </w:r>
      <w:r w:rsidR="364A223A">
        <w:t>cap</w:t>
      </w:r>
      <w:r>
        <w:t xml:space="preserve">. The balance of general planning and administrative funds will </w:t>
      </w:r>
      <w:r w:rsidR="00CF4BDF">
        <w:t xml:space="preserve">be available </w:t>
      </w:r>
      <w:r>
        <w:t xml:space="preserve">to units of general local government for general planning and administrative costs to support the completion of project activities. General planning activities are eligible planning activities under Section 105(a)(12) of the Housing and Community Development Act of 1974. Any administrative funds not awarded to grantees for general planning or administrative costs will be redirected to project costs for completing activities. </w:t>
      </w:r>
      <w:bookmarkStart w:id="38" w:name="_Hlk67035976"/>
      <w:r>
        <w:t xml:space="preserve">CDBG planning funds that are used for </w:t>
      </w:r>
      <w:r>
        <w:lastRenderedPageBreak/>
        <w:t xml:space="preserve">standalone planning-only activities will meet either the Low and Moderate Income </w:t>
      </w:r>
      <w:r w:rsidR="30CC0333">
        <w:t xml:space="preserve">(LMI) </w:t>
      </w:r>
      <w:r>
        <w:t xml:space="preserve">or Slums and Blight National Objectives. </w:t>
      </w:r>
      <w:bookmarkEnd w:id="38"/>
    </w:p>
    <w:p w14:paraId="7E1E9218" w14:textId="77777777" w:rsidR="007E5BF0" w:rsidRDefault="007E5BF0" w:rsidP="007E5BF0"/>
    <w:p w14:paraId="75D7ABE9" w14:textId="26942D4E" w:rsidR="007E5BF0" w:rsidRDefault="007E5BF0" w:rsidP="007E5BF0">
      <w:r>
        <w:t xml:space="preserve">HOME administration allocations are capped at 10% of the annual HOME allocation in addition to eligible program income received during the program year. The amount of federal HOME administrative funds will not exceed </w:t>
      </w:r>
      <w:r w:rsidR="2DC14981">
        <w:t xml:space="preserve">10% </w:t>
      </w:r>
      <w:r w:rsidR="03A8A5C4">
        <w:t xml:space="preserve">of the HOME allocation </w:t>
      </w:r>
      <w:r>
        <w:t xml:space="preserve">for Year </w:t>
      </w:r>
      <w:r w:rsidR="3B46D6DD">
        <w:t>5</w:t>
      </w:r>
      <w:r>
        <w:t xml:space="preserve">. Revenue received during a project’s period of affordability is considered recaptured and will not be used for administration. </w:t>
      </w:r>
    </w:p>
    <w:p w14:paraId="6DEAF9F6" w14:textId="77777777" w:rsidR="007E5BF0" w:rsidRDefault="007E5BF0" w:rsidP="007E5BF0"/>
    <w:p w14:paraId="6A8436FE" w14:textId="5F5D2A8F" w:rsidR="007E5BF0" w:rsidRDefault="007E5BF0" w:rsidP="007E5BF0">
      <w:r>
        <w:t xml:space="preserve">HTF administration allocations are capped at 10% of the annual HTF allocation. The amount of federal HTF administrative funds will not exceed </w:t>
      </w:r>
      <w:r w:rsidR="2395A234">
        <w:t>1</w:t>
      </w:r>
      <w:r w:rsidR="219FFD8E">
        <w:t>0</w:t>
      </w:r>
      <w:r w:rsidR="0023706D">
        <w:t>% of</w:t>
      </w:r>
      <w:r w:rsidR="4D858088">
        <w:t xml:space="preserve"> the HTF allocation </w:t>
      </w:r>
      <w:r>
        <w:t xml:space="preserve">for Year </w:t>
      </w:r>
      <w:r w:rsidR="3B46D6DD">
        <w:t>5</w:t>
      </w:r>
      <w:r>
        <w:t xml:space="preserve">. The use of administrative funds will not exceed 10% for state HTF staff and grantee administrative costs to support the completion of project activities. </w:t>
      </w:r>
    </w:p>
    <w:p w14:paraId="6D3EAC60" w14:textId="77777777" w:rsidR="007E5BF0" w:rsidRDefault="007E5BF0" w:rsidP="007E5BF0"/>
    <w:p w14:paraId="1867D39E" w14:textId="1F8B09F7" w:rsidR="007E5BF0" w:rsidRDefault="007E5BF0" w:rsidP="007E5BF0">
      <w:r>
        <w:t>Expected revenues for CDBG include repayments for funding loaned to businesses that create job opportunities for Montanans of low to moderate income, as well as income attributable to the Neighborhood Stabilization Program</w:t>
      </w:r>
      <w:r w:rsidR="00EB4082">
        <w:t xml:space="preserve"> (NSP)</w:t>
      </w:r>
      <w:r>
        <w:t xml:space="preserve">. Expected revenues for HOME include recaptured funds and program income generated by the HOME Homebuyer Assistance Program. The amount of program income received in any given plan year varies depending on the housing market, interest rates and the general economy. </w:t>
      </w:r>
    </w:p>
    <w:p w14:paraId="622E07DF" w14:textId="77777777" w:rsidR="007E5BF0" w:rsidRDefault="007E5BF0" w:rsidP="007E5BF0"/>
    <w:p w14:paraId="1AF0EE0D" w14:textId="25D32123" w:rsidR="007E5BF0" w:rsidRDefault="1664CBFB" w:rsidP="66491423">
      <w:r>
        <w:t>To achieve the most effective and efficient use of CDBG funds, the Director of Commerce may reallocate up to</w:t>
      </w:r>
      <w:r w:rsidR="74A3548F">
        <w:t xml:space="preserve"> 25%</w:t>
      </w:r>
      <w:r w:rsidR="4ADB11CB">
        <w:t xml:space="preserve"> </w:t>
      </w:r>
      <w:r>
        <w:t xml:space="preserve">of the total CDBG allocation among grant categories, depending on the needs in the state during the plan year. A reallocation of more than </w:t>
      </w:r>
      <w:r w:rsidR="4AF296DE">
        <w:t>25</w:t>
      </w:r>
      <w:r>
        <w:t>% of the total allocation, or the creation or elimination of a grant category, is considered a substantial amendment to this AAP and would require further steps as identified within the Citizen Participation Plan (Appendix A</w:t>
      </w:r>
      <w:r w:rsidR="2CF265DB">
        <w:t xml:space="preserve"> of the 2020-2024 Consolidated Plan</w:t>
      </w:r>
      <w:r>
        <w:t xml:space="preserve">). </w:t>
      </w:r>
      <w:r w:rsidR="61B994E4">
        <w:t xml:space="preserve">CDBG funds may be reallocated in the case of a disaster and funds must be used immediately. In the event of a disaster, Commerce will follow the citizen participation plan as described in the Consolidated Plan. </w:t>
      </w:r>
      <w:r>
        <w:t>Reallocations may also be made to any remaining balances within a grant category within the last 3 months of a 15-month obligation deadline to meet the HUD Timely Distribution requirement.</w:t>
      </w:r>
    </w:p>
    <w:p w14:paraId="643A5B5D" w14:textId="77777777" w:rsidR="00BF52AC" w:rsidRDefault="00BF52AC" w:rsidP="007E5BF0"/>
    <w:p w14:paraId="27E91BC0" w14:textId="441703E5" w:rsidR="007E5BF0" w:rsidRDefault="1664CBFB" w:rsidP="007E5BF0">
      <w:r>
        <w:t xml:space="preserve">To achieve the most effective and efficient use of HOME funds, the Director of Commerce may reallocate up to </w:t>
      </w:r>
      <w:r w:rsidR="53719506">
        <w:t>25</w:t>
      </w:r>
      <w:r>
        <w:t xml:space="preserve">% of the total HOME allocation among HOME Housing Development Program and HOME Homebuyer Assistance Program grant categories, depending on the needs in the state during the plan year. A reallocation of more than </w:t>
      </w:r>
      <w:r w:rsidR="2841436C">
        <w:t>25</w:t>
      </w:r>
      <w:r>
        <w:t>% of the total allocation, or the creation or elimination of a grant category is considered a substantial amendment to this AAP and would require further steps as identified within the Citizen Participation Plan (Appendix A</w:t>
      </w:r>
      <w:r w:rsidR="2CF265DB">
        <w:t xml:space="preserve"> of the 2020-2024 Consolidated Plan</w:t>
      </w:r>
      <w:r>
        <w:t xml:space="preserve">). Reallocations may also be made of any remaining balances within a grant category within the last 3 months of a 24-month obligation deadline to meet the HUD obligation requirements. Reallocations or awards may not be made until </w:t>
      </w:r>
      <w:r w:rsidR="4CBDB38C">
        <w:t>at least 15%</w:t>
      </w:r>
      <w:r w:rsidR="741F226D">
        <w:t xml:space="preserve"> </w:t>
      </w:r>
      <w:r>
        <w:t>of the CHDO set-aside requirement has been obligated.</w:t>
      </w:r>
    </w:p>
    <w:p w14:paraId="34DA62FA" w14:textId="77777777" w:rsidR="007E5BF0" w:rsidRDefault="007E5BF0" w:rsidP="007E5BF0"/>
    <w:p w14:paraId="3913DC93" w14:textId="64CFAE75" w:rsidR="007E5BF0" w:rsidRDefault="007E5BF0" w:rsidP="007E5BF0">
      <w:r>
        <w:t xml:space="preserve">The HTF allocation may also be moved between projects that serve those experiencing homelessness and other projects. Reallocations of up to </w:t>
      </w:r>
      <w:r w:rsidR="62F4F76B">
        <w:t>25</w:t>
      </w:r>
      <w:r>
        <w:t xml:space="preserve">% may be authorized by the Director of Commerce. </w:t>
      </w:r>
      <w:r w:rsidR="00DC4856">
        <w:t xml:space="preserve">Reallocations may also be made of any remaining balances within a grant category within the last 3 months of a 24-month obligation deadline to meet the HUD requirements. </w:t>
      </w:r>
    </w:p>
    <w:p w14:paraId="4A01BF61" w14:textId="390D1DB5" w:rsidR="007E5BF0" w:rsidRDefault="007E5BF0" w:rsidP="007E5BF0"/>
    <w:p w14:paraId="10E2803D" w14:textId="6D01BB22" w:rsidR="00B15223" w:rsidRDefault="257AF087" w:rsidP="6BAB5C2E">
      <w:r>
        <w:t xml:space="preserve">For ESG, DPHHS allocates </w:t>
      </w:r>
      <w:r w:rsidR="0023706D">
        <w:t xml:space="preserve">funds </w:t>
      </w:r>
      <w:r>
        <w:t xml:space="preserve">to ensure the provision of ESG services statewide so all Montanans who are homeless </w:t>
      </w:r>
      <w:r w:rsidR="5A434191">
        <w:t>or</w:t>
      </w:r>
      <w:r>
        <w:t xml:space="preserve"> near homeless have access in or near their communities. 7.5% of ESG funds are </w:t>
      </w:r>
      <w:r>
        <w:lastRenderedPageBreak/>
        <w:t xml:space="preserve">allocated to administrative activities; DPHHS retains 2.5% of this 7.5% and 5% of this 7.5% is distributed to the HRDCs for administrative costs. </w:t>
      </w:r>
      <w:r w:rsidR="47652E92">
        <w:t xml:space="preserve">An additional 5% is retained for </w:t>
      </w:r>
      <w:r w:rsidR="00DC4856">
        <w:t>Homeless Management Information System (</w:t>
      </w:r>
      <w:r w:rsidR="47652E92">
        <w:t>HMIS</w:t>
      </w:r>
      <w:r w:rsidR="00DC4856">
        <w:t>)</w:t>
      </w:r>
      <w:r w:rsidR="47652E92">
        <w:t xml:space="preserve">. </w:t>
      </w:r>
      <w:r>
        <w:t>ESG funds are distributed based on a formula allocation</w:t>
      </w:r>
      <w:r w:rsidR="55789467">
        <w:t xml:space="preserve"> for Montana’s 12 poverty districts</w:t>
      </w:r>
      <w:r>
        <w:t xml:space="preserve">, reflecting poverty and population in the area as relative to poverty and population in the entire state. This process is set forth in </w:t>
      </w:r>
      <w:r w:rsidR="5FA63E0D">
        <w:t>Montana Code Annotated (MCA)</w:t>
      </w:r>
      <w:r>
        <w:t xml:space="preserve"> Section 53-10-502, which pertains to the federal Community Services Block Grant (CSBG). </w:t>
      </w:r>
      <w:r w:rsidR="11E445C0">
        <w:t>Currently, ESG funds are allocated to 8 of the 10 HRDCs in Montana represent 8 of the 12 poverty districts. DPHHS is currently engaged in a limited solicitation bid for districts 1-4.</w:t>
      </w:r>
    </w:p>
    <w:p w14:paraId="5F9B6862" w14:textId="486B2F9A" w:rsidR="6BAB5C2E" w:rsidRDefault="6BAB5C2E" w:rsidP="6BAB5C2E"/>
    <w:p w14:paraId="4017CD1F" w14:textId="6927697F" w:rsidR="007E5BF0" w:rsidRPr="00574448" w:rsidRDefault="007E5BF0" w:rsidP="007E5BF0">
      <w:r w:rsidRPr="006E128F">
        <w:rPr>
          <w:b/>
        </w:rPr>
        <w:t>Table</w:t>
      </w:r>
      <w:r>
        <w:t xml:space="preserve"> </w:t>
      </w:r>
      <w:r w:rsidRPr="006E128F">
        <w:rPr>
          <w:b/>
        </w:rPr>
        <w:t>5</w:t>
      </w:r>
      <w:r>
        <w:t xml:space="preserve"> describes the HUD resources to be used across the state to achieve the objectives of each program.</w:t>
      </w:r>
    </w:p>
    <w:p w14:paraId="6C24F2C7" w14:textId="77777777" w:rsidR="007E5BF0" w:rsidRDefault="007E5BF0" w:rsidP="007E5BF0"/>
    <w:p w14:paraId="6082B84C" w14:textId="2F68F90E" w:rsidR="007E5BF0" w:rsidRDefault="007E5BF0" w:rsidP="007E5BF0">
      <w:pPr>
        <w:pStyle w:val="TableCaption"/>
      </w:pPr>
      <w:bookmarkStart w:id="39" w:name="_Toc56449315"/>
      <w:bookmarkStart w:id="40" w:name="_Toc61552607"/>
      <w:bookmarkStart w:id="41" w:name="_Toc70505194"/>
      <w:bookmarkStart w:id="42" w:name="_Toc73081442"/>
      <w:bookmarkStart w:id="43" w:name="_Hlk71806238"/>
      <w:r w:rsidRPr="00327539">
        <w:t xml:space="preserve">Table 5 </w:t>
      </w:r>
      <w:r>
        <w:t>–</w:t>
      </w:r>
      <w:r w:rsidRPr="00327539">
        <w:t xml:space="preserve"> Expected Resources – Priority Table</w:t>
      </w:r>
      <w:bookmarkEnd w:id="39"/>
      <w:bookmarkEnd w:id="40"/>
      <w:bookmarkEnd w:id="41"/>
      <w:bookmarkEnd w:id="42"/>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Expected Resources - Priority Table (Table 5)"/>
        <w:tblDescription w:val="This table shows expected program resources for the Plan Year."/>
      </w:tblPr>
      <w:tblGrid>
        <w:gridCol w:w="985"/>
        <w:gridCol w:w="900"/>
        <w:gridCol w:w="1350"/>
        <w:gridCol w:w="990"/>
        <w:gridCol w:w="1080"/>
        <w:gridCol w:w="1350"/>
        <w:gridCol w:w="1350"/>
        <w:gridCol w:w="1345"/>
      </w:tblGrid>
      <w:tr w:rsidR="00197A13" w:rsidRPr="00F83852" w14:paraId="4F95DAE7" w14:textId="77777777" w:rsidTr="00295915">
        <w:trPr>
          <w:cantSplit/>
          <w:trHeight w:val="300"/>
          <w:tblHeader/>
        </w:trPr>
        <w:tc>
          <w:tcPr>
            <w:tcW w:w="985" w:type="dxa"/>
            <w:vMerge w:val="restart"/>
            <w:shd w:val="clear" w:color="auto" w:fill="C5D4D5"/>
            <w:vAlign w:val="center"/>
          </w:tcPr>
          <w:p w14:paraId="11E52D21" w14:textId="77777777" w:rsidR="007E5BF0" w:rsidRPr="003C3BC8" w:rsidRDefault="007E5BF0" w:rsidP="0044257C">
            <w:pPr>
              <w:widowControl w:val="0"/>
              <w:rPr>
                <w:bCs/>
                <w:sz w:val="19"/>
                <w:szCs w:val="19"/>
              </w:rPr>
            </w:pPr>
            <w:r w:rsidRPr="003C3BC8">
              <w:rPr>
                <w:bCs/>
                <w:sz w:val="19"/>
                <w:szCs w:val="19"/>
              </w:rPr>
              <w:t>Program</w:t>
            </w:r>
          </w:p>
        </w:tc>
        <w:tc>
          <w:tcPr>
            <w:tcW w:w="900" w:type="dxa"/>
            <w:vMerge w:val="restart"/>
            <w:shd w:val="clear" w:color="auto" w:fill="C5D4D5"/>
            <w:vAlign w:val="center"/>
          </w:tcPr>
          <w:p w14:paraId="20010596" w14:textId="77777777" w:rsidR="007E5BF0" w:rsidRPr="003C3BC8" w:rsidRDefault="007E5BF0" w:rsidP="0044257C">
            <w:pPr>
              <w:widowControl w:val="0"/>
              <w:jc w:val="center"/>
              <w:rPr>
                <w:bCs/>
                <w:sz w:val="19"/>
                <w:szCs w:val="19"/>
              </w:rPr>
            </w:pPr>
            <w:r w:rsidRPr="003C3BC8">
              <w:rPr>
                <w:bCs/>
                <w:sz w:val="19"/>
                <w:szCs w:val="19"/>
              </w:rPr>
              <w:t>Source of Funds</w:t>
            </w:r>
          </w:p>
        </w:tc>
        <w:tc>
          <w:tcPr>
            <w:tcW w:w="4770" w:type="dxa"/>
            <w:gridSpan w:val="4"/>
            <w:shd w:val="clear" w:color="auto" w:fill="C5D4D5"/>
            <w:vAlign w:val="center"/>
          </w:tcPr>
          <w:p w14:paraId="6240009D" w14:textId="1177074F" w:rsidR="007E5BF0" w:rsidRPr="003C3BC8" w:rsidRDefault="007E5BF0" w:rsidP="77A3D6BC">
            <w:pPr>
              <w:widowControl w:val="0"/>
              <w:jc w:val="center"/>
              <w:rPr>
                <w:sz w:val="19"/>
                <w:szCs w:val="19"/>
              </w:rPr>
            </w:pPr>
            <w:r w:rsidRPr="77A3D6BC">
              <w:rPr>
                <w:sz w:val="19"/>
                <w:szCs w:val="19"/>
              </w:rPr>
              <w:t>Expected Amount Available Year</w:t>
            </w:r>
            <w:r w:rsidR="005A2BE4" w:rsidRPr="77A3D6BC">
              <w:rPr>
                <w:sz w:val="19"/>
                <w:szCs w:val="19"/>
              </w:rPr>
              <w:t xml:space="preserve"> </w:t>
            </w:r>
            <w:r w:rsidR="56B3D954" w:rsidRPr="77A3D6BC">
              <w:rPr>
                <w:sz w:val="19"/>
                <w:szCs w:val="19"/>
              </w:rPr>
              <w:t>5</w:t>
            </w:r>
          </w:p>
        </w:tc>
        <w:tc>
          <w:tcPr>
            <w:tcW w:w="1350" w:type="dxa"/>
            <w:vMerge w:val="restart"/>
            <w:shd w:val="clear" w:color="auto" w:fill="C5D4D5"/>
            <w:vAlign w:val="center"/>
          </w:tcPr>
          <w:p w14:paraId="4C647EEC" w14:textId="77777777" w:rsidR="007E5BF0" w:rsidRPr="003C3BC8" w:rsidRDefault="007E5BF0" w:rsidP="0044257C">
            <w:pPr>
              <w:widowControl w:val="0"/>
              <w:jc w:val="center"/>
              <w:rPr>
                <w:bCs/>
                <w:sz w:val="19"/>
                <w:szCs w:val="19"/>
              </w:rPr>
            </w:pPr>
            <w:r w:rsidRPr="003C3BC8">
              <w:rPr>
                <w:bCs/>
                <w:sz w:val="19"/>
                <w:szCs w:val="19"/>
              </w:rPr>
              <w:t xml:space="preserve">Expected Amount Available Remainder of </w:t>
            </w:r>
            <w:proofErr w:type="spellStart"/>
            <w:r w:rsidRPr="003C3BC8">
              <w:rPr>
                <w:bCs/>
                <w:sz w:val="19"/>
                <w:szCs w:val="19"/>
              </w:rPr>
              <w:t>ConPlan</w:t>
            </w:r>
            <w:proofErr w:type="spellEnd"/>
          </w:p>
        </w:tc>
        <w:tc>
          <w:tcPr>
            <w:tcW w:w="1345" w:type="dxa"/>
            <w:vMerge w:val="restart"/>
            <w:shd w:val="clear" w:color="auto" w:fill="C5D4D5"/>
            <w:vAlign w:val="center"/>
          </w:tcPr>
          <w:p w14:paraId="4665EF30" w14:textId="77777777" w:rsidR="007E5BF0" w:rsidRPr="003C3BC8" w:rsidRDefault="007E5BF0" w:rsidP="0044257C">
            <w:pPr>
              <w:widowControl w:val="0"/>
              <w:jc w:val="center"/>
              <w:rPr>
                <w:bCs/>
                <w:sz w:val="19"/>
                <w:szCs w:val="19"/>
              </w:rPr>
            </w:pPr>
            <w:r w:rsidRPr="003C3BC8">
              <w:rPr>
                <w:bCs/>
                <w:sz w:val="19"/>
                <w:szCs w:val="19"/>
              </w:rPr>
              <w:t>Narrative Description</w:t>
            </w:r>
          </w:p>
        </w:tc>
      </w:tr>
      <w:tr w:rsidR="00A01D23" w:rsidRPr="00F83852" w14:paraId="33BE9678" w14:textId="77777777" w:rsidTr="00295915">
        <w:trPr>
          <w:cantSplit/>
          <w:trHeight w:val="300"/>
          <w:tblHeader/>
        </w:trPr>
        <w:tc>
          <w:tcPr>
            <w:tcW w:w="985" w:type="dxa"/>
            <w:vMerge/>
            <w:vAlign w:val="center"/>
          </w:tcPr>
          <w:p w14:paraId="42FBC149" w14:textId="77777777" w:rsidR="007E5BF0" w:rsidRPr="00F03E95" w:rsidRDefault="007E5BF0" w:rsidP="0044257C">
            <w:pPr>
              <w:widowControl w:val="0"/>
              <w:rPr>
                <w:bCs/>
                <w:sz w:val="20"/>
                <w:szCs w:val="20"/>
              </w:rPr>
            </w:pPr>
          </w:p>
        </w:tc>
        <w:tc>
          <w:tcPr>
            <w:tcW w:w="900" w:type="dxa"/>
            <w:vMerge/>
          </w:tcPr>
          <w:p w14:paraId="4F32E08A" w14:textId="77777777" w:rsidR="007E5BF0" w:rsidRPr="00F03E95" w:rsidRDefault="007E5BF0" w:rsidP="0044257C">
            <w:pPr>
              <w:widowControl w:val="0"/>
              <w:jc w:val="center"/>
              <w:rPr>
                <w:bCs/>
                <w:sz w:val="20"/>
                <w:szCs w:val="20"/>
              </w:rPr>
            </w:pPr>
          </w:p>
        </w:tc>
        <w:tc>
          <w:tcPr>
            <w:tcW w:w="1350" w:type="dxa"/>
            <w:shd w:val="clear" w:color="auto" w:fill="DDE6E7"/>
            <w:vAlign w:val="center"/>
          </w:tcPr>
          <w:p w14:paraId="6DDCF1DC" w14:textId="1F8259AB" w:rsidR="007E5BF0" w:rsidRPr="003C3BC8" w:rsidRDefault="007E5BF0" w:rsidP="77A3D6BC">
            <w:pPr>
              <w:widowControl w:val="0"/>
              <w:jc w:val="center"/>
              <w:rPr>
                <w:sz w:val="19"/>
                <w:szCs w:val="19"/>
              </w:rPr>
            </w:pPr>
            <w:r w:rsidRPr="4BD80007">
              <w:rPr>
                <w:sz w:val="19"/>
                <w:szCs w:val="19"/>
              </w:rPr>
              <w:t>Annual Allocation</w:t>
            </w:r>
          </w:p>
        </w:tc>
        <w:tc>
          <w:tcPr>
            <w:tcW w:w="990" w:type="dxa"/>
            <w:shd w:val="clear" w:color="auto" w:fill="DDE6E7"/>
            <w:vAlign w:val="center"/>
          </w:tcPr>
          <w:p w14:paraId="50377C0F" w14:textId="77777777" w:rsidR="007E5BF0" w:rsidRPr="003C3BC8" w:rsidRDefault="007E5BF0" w:rsidP="0044257C">
            <w:pPr>
              <w:widowControl w:val="0"/>
              <w:jc w:val="center"/>
              <w:rPr>
                <w:bCs/>
                <w:sz w:val="19"/>
                <w:szCs w:val="19"/>
              </w:rPr>
            </w:pPr>
            <w:r w:rsidRPr="003C3BC8">
              <w:rPr>
                <w:bCs/>
                <w:sz w:val="19"/>
                <w:szCs w:val="19"/>
              </w:rPr>
              <w:t>Program Income</w:t>
            </w:r>
          </w:p>
        </w:tc>
        <w:tc>
          <w:tcPr>
            <w:tcW w:w="1080" w:type="dxa"/>
            <w:shd w:val="clear" w:color="auto" w:fill="DDE6E7"/>
            <w:vAlign w:val="center"/>
          </w:tcPr>
          <w:p w14:paraId="7B9F1E18" w14:textId="77777777" w:rsidR="007E5BF0" w:rsidRPr="003C3BC8" w:rsidRDefault="007E5BF0" w:rsidP="0044257C">
            <w:pPr>
              <w:widowControl w:val="0"/>
              <w:jc w:val="center"/>
              <w:rPr>
                <w:bCs/>
                <w:sz w:val="19"/>
                <w:szCs w:val="19"/>
              </w:rPr>
            </w:pPr>
            <w:r w:rsidRPr="003C3BC8">
              <w:rPr>
                <w:bCs/>
                <w:sz w:val="19"/>
                <w:szCs w:val="19"/>
              </w:rPr>
              <w:t>Prior Year Resources</w:t>
            </w:r>
          </w:p>
        </w:tc>
        <w:tc>
          <w:tcPr>
            <w:tcW w:w="1350" w:type="dxa"/>
            <w:shd w:val="clear" w:color="auto" w:fill="DDE6E7"/>
            <w:vAlign w:val="center"/>
          </w:tcPr>
          <w:p w14:paraId="225265F9" w14:textId="77777777" w:rsidR="007E5BF0" w:rsidRPr="003C3BC8" w:rsidRDefault="007E5BF0" w:rsidP="0044257C">
            <w:pPr>
              <w:widowControl w:val="0"/>
              <w:jc w:val="center"/>
              <w:rPr>
                <w:bCs/>
                <w:sz w:val="19"/>
                <w:szCs w:val="19"/>
              </w:rPr>
            </w:pPr>
            <w:r w:rsidRPr="003C3BC8">
              <w:rPr>
                <w:bCs/>
                <w:sz w:val="19"/>
                <w:szCs w:val="19"/>
              </w:rPr>
              <w:t>Total</w:t>
            </w:r>
          </w:p>
        </w:tc>
        <w:tc>
          <w:tcPr>
            <w:tcW w:w="1350" w:type="dxa"/>
            <w:vMerge/>
          </w:tcPr>
          <w:p w14:paraId="4E1EC09F" w14:textId="77777777" w:rsidR="007E5BF0" w:rsidRPr="00F03E95" w:rsidRDefault="007E5BF0" w:rsidP="0044257C">
            <w:pPr>
              <w:widowControl w:val="0"/>
              <w:jc w:val="center"/>
              <w:rPr>
                <w:bCs/>
                <w:sz w:val="20"/>
                <w:szCs w:val="20"/>
              </w:rPr>
            </w:pPr>
          </w:p>
        </w:tc>
        <w:tc>
          <w:tcPr>
            <w:tcW w:w="1345" w:type="dxa"/>
            <w:vMerge/>
          </w:tcPr>
          <w:p w14:paraId="0CD07253" w14:textId="77777777" w:rsidR="007E5BF0" w:rsidRPr="00F03E95" w:rsidRDefault="007E5BF0" w:rsidP="0044257C">
            <w:pPr>
              <w:widowControl w:val="0"/>
              <w:jc w:val="center"/>
              <w:rPr>
                <w:bCs/>
                <w:sz w:val="20"/>
                <w:szCs w:val="20"/>
              </w:rPr>
            </w:pPr>
          </w:p>
        </w:tc>
      </w:tr>
      <w:tr w:rsidR="00A01D23" w:rsidRPr="00F83852" w14:paraId="453C5463" w14:textId="77777777" w:rsidTr="00295915">
        <w:trPr>
          <w:cantSplit/>
          <w:trHeight w:val="300"/>
        </w:trPr>
        <w:tc>
          <w:tcPr>
            <w:tcW w:w="985" w:type="dxa"/>
            <w:vMerge w:val="restart"/>
            <w:shd w:val="clear" w:color="auto" w:fill="DDE6E7"/>
            <w:vAlign w:val="center"/>
          </w:tcPr>
          <w:p w14:paraId="319F5BE7" w14:textId="77777777" w:rsidR="007E5BF0" w:rsidRPr="00BA7C37" w:rsidRDefault="007E5BF0" w:rsidP="0044257C">
            <w:pPr>
              <w:widowControl w:val="0"/>
              <w:rPr>
                <w:bCs/>
                <w:sz w:val="19"/>
                <w:szCs w:val="19"/>
              </w:rPr>
            </w:pPr>
            <w:r w:rsidRPr="00BA7C37">
              <w:rPr>
                <w:bCs/>
                <w:sz w:val="19"/>
                <w:szCs w:val="19"/>
              </w:rPr>
              <w:t>CDBG</w:t>
            </w:r>
          </w:p>
        </w:tc>
        <w:tc>
          <w:tcPr>
            <w:tcW w:w="900" w:type="dxa"/>
            <w:vAlign w:val="center"/>
          </w:tcPr>
          <w:p w14:paraId="49956C62" w14:textId="77777777" w:rsidR="007E5BF0" w:rsidRPr="00BA7C37" w:rsidRDefault="007E5BF0" w:rsidP="0044257C">
            <w:pPr>
              <w:widowControl w:val="0"/>
              <w:rPr>
                <w:bCs/>
                <w:sz w:val="19"/>
                <w:szCs w:val="19"/>
              </w:rPr>
            </w:pPr>
            <w:r w:rsidRPr="00BA7C37">
              <w:rPr>
                <w:bCs/>
                <w:sz w:val="19"/>
                <w:szCs w:val="19"/>
              </w:rPr>
              <w:t>Public/ Federal</w:t>
            </w:r>
          </w:p>
        </w:tc>
        <w:tc>
          <w:tcPr>
            <w:tcW w:w="1350" w:type="dxa"/>
            <w:vAlign w:val="center"/>
          </w:tcPr>
          <w:p w14:paraId="1901A15D" w14:textId="715E8681" w:rsidR="007E5BF0" w:rsidRPr="00BA7C37" w:rsidRDefault="0023706D" w:rsidP="77A3D6BC">
            <w:pPr>
              <w:widowControl w:val="0"/>
              <w:jc w:val="right"/>
              <w:rPr>
                <w:sz w:val="19"/>
                <w:szCs w:val="19"/>
              </w:rPr>
            </w:pPr>
            <w:r>
              <w:rPr>
                <w:sz w:val="19"/>
                <w:szCs w:val="19"/>
              </w:rPr>
              <w:t>$</w:t>
            </w:r>
            <w:r w:rsidR="00EF568A">
              <w:rPr>
                <w:sz w:val="19"/>
                <w:szCs w:val="19"/>
              </w:rPr>
              <w:t>6,</w:t>
            </w:r>
            <w:r w:rsidR="00BA73D6">
              <w:rPr>
                <w:sz w:val="19"/>
                <w:szCs w:val="19"/>
              </w:rPr>
              <w:t>172,506</w:t>
            </w:r>
          </w:p>
          <w:p w14:paraId="046BBFAD" w14:textId="1573C7DF" w:rsidR="007E5BF0" w:rsidRPr="00BA7C37" w:rsidRDefault="007E5BF0" w:rsidP="77A3D6BC">
            <w:pPr>
              <w:widowControl w:val="0"/>
              <w:jc w:val="right"/>
              <w:rPr>
                <w:sz w:val="19"/>
                <w:szCs w:val="19"/>
              </w:rPr>
            </w:pPr>
          </w:p>
        </w:tc>
        <w:tc>
          <w:tcPr>
            <w:tcW w:w="990" w:type="dxa"/>
            <w:vAlign w:val="center"/>
          </w:tcPr>
          <w:p w14:paraId="34A4FBAF" w14:textId="77777777" w:rsidR="007E5BF0" w:rsidRPr="00BA7C37" w:rsidRDefault="1664CBFB" w:rsidP="414323AB">
            <w:pPr>
              <w:widowControl w:val="0"/>
              <w:jc w:val="right"/>
              <w:rPr>
                <w:sz w:val="19"/>
                <w:szCs w:val="19"/>
              </w:rPr>
            </w:pPr>
            <w:r w:rsidRPr="6EE14823">
              <w:rPr>
                <w:sz w:val="19"/>
                <w:szCs w:val="19"/>
              </w:rPr>
              <w:t>$0</w:t>
            </w:r>
          </w:p>
        </w:tc>
        <w:tc>
          <w:tcPr>
            <w:tcW w:w="1080" w:type="dxa"/>
            <w:vAlign w:val="center"/>
          </w:tcPr>
          <w:p w14:paraId="38582604" w14:textId="0E24E42A" w:rsidR="007E5BF0" w:rsidRPr="00A75DA5" w:rsidRDefault="316210A5" w:rsidP="12F5092A">
            <w:pPr>
              <w:widowControl w:val="0"/>
              <w:jc w:val="right"/>
              <w:rPr>
                <w:sz w:val="19"/>
                <w:szCs w:val="19"/>
              </w:rPr>
            </w:pPr>
            <w:r w:rsidRPr="00A75DA5">
              <w:rPr>
                <w:sz w:val="19"/>
                <w:szCs w:val="19"/>
              </w:rPr>
              <w:t>$0</w:t>
            </w:r>
          </w:p>
        </w:tc>
        <w:tc>
          <w:tcPr>
            <w:tcW w:w="1350" w:type="dxa"/>
            <w:vAlign w:val="center"/>
          </w:tcPr>
          <w:p w14:paraId="28B73F32" w14:textId="1A24D8DD" w:rsidR="007E5BF0" w:rsidRPr="00BA7C37" w:rsidRDefault="0023706D" w:rsidP="12F5092A">
            <w:pPr>
              <w:widowControl w:val="0"/>
              <w:jc w:val="right"/>
              <w:rPr>
                <w:sz w:val="19"/>
                <w:szCs w:val="19"/>
              </w:rPr>
            </w:pPr>
            <w:r>
              <w:rPr>
                <w:sz w:val="19"/>
                <w:szCs w:val="19"/>
              </w:rPr>
              <w:t>$</w:t>
            </w:r>
            <w:r w:rsidR="00BA73D6">
              <w:rPr>
                <w:sz w:val="19"/>
                <w:szCs w:val="19"/>
              </w:rPr>
              <w:t>6,172,506</w:t>
            </w:r>
          </w:p>
        </w:tc>
        <w:tc>
          <w:tcPr>
            <w:tcW w:w="1350" w:type="dxa"/>
            <w:vAlign w:val="center"/>
          </w:tcPr>
          <w:p w14:paraId="19002F8B" w14:textId="4E74A6B0" w:rsidR="007E5BF0" w:rsidRPr="00BA7C37" w:rsidRDefault="0023706D" w:rsidP="00BA3D37">
            <w:pPr>
              <w:widowControl w:val="0"/>
              <w:jc w:val="right"/>
              <w:rPr>
                <w:bCs/>
                <w:sz w:val="19"/>
                <w:szCs w:val="19"/>
              </w:rPr>
            </w:pPr>
            <w:r>
              <w:rPr>
                <w:bCs/>
                <w:sz w:val="19"/>
                <w:szCs w:val="19"/>
              </w:rPr>
              <w:t>$</w:t>
            </w:r>
            <w:r w:rsidR="00BA73D6">
              <w:rPr>
                <w:bCs/>
                <w:sz w:val="19"/>
                <w:szCs w:val="19"/>
              </w:rPr>
              <w:t>6,172,506</w:t>
            </w:r>
          </w:p>
        </w:tc>
        <w:tc>
          <w:tcPr>
            <w:tcW w:w="1345" w:type="dxa"/>
            <w:vAlign w:val="center"/>
          </w:tcPr>
          <w:p w14:paraId="372C9AD3" w14:textId="77777777" w:rsidR="007E5BF0" w:rsidRPr="00BA7C37" w:rsidRDefault="007E5BF0" w:rsidP="0044257C">
            <w:pPr>
              <w:widowControl w:val="0"/>
              <w:rPr>
                <w:bCs/>
                <w:sz w:val="19"/>
                <w:szCs w:val="19"/>
              </w:rPr>
            </w:pPr>
            <w:r w:rsidRPr="00BA7C37">
              <w:rPr>
                <w:bCs/>
                <w:sz w:val="19"/>
                <w:szCs w:val="19"/>
              </w:rPr>
              <w:t xml:space="preserve">State </w:t>
            </w:r>
            <w:proofErr w:type="gramStart"/>
            <w:r w:rsidRPr="00BA7C37">
              <w:rPr>
                <w:bCs/>
                <w:sz w:val="19"/>
                <w:szCs w:val="19"/>
              </w:rPr>
              <w:t>allocation;</w:t>
            </w:r>
            <w:proofErr w:type="gramEnd"/>
            <w:r w:rsidRPr="00BA7C37">
              <w:rPr>
                <w:bCs/>
                <w:sz w:val="19"/>
                <w:szCs w:val="19"/>
              </w:rPr>
              <w:t xml:space="preserve"> CDBG funds matched in some grant categories by units of general local government; State funds used to meet CDBG match requirements</w:t>
            </w:r>
          </w:p>
        </w:tc>
      </w:tr>
      <w:tr w:rsidR="007E5BF0" w:rsidRPr="00F83852" w14:paraId="4477543F" w14:textId="77777777" w:rsidTr="006D0280">
        <w:trPr>
          <w:cantSplit/>
          <w:trHeight w:val="300"/>
        </w:trPr>
        <w:tc>
          <w:tcPr>
            <w:tcW w:w="985" w:type="dxa"/>
            <w:vMerge/>
            <w:vAlign w:val="center"/>
          </w:tcPr>
          <w:p w14:paraId="367E3B99" w14:textId="77777777" w:rsidR="007E5BF0" w:rsidRPr="00F03E95" w:rsidRDefault="007E5BF0" w:rsidP="0044257C">
            <w:pPr>
              <w:widowControl w:val="0"/>
              <w:rPr>
                <w:bCs/>
                <w:sz w:val="19"/>
                <w:szCs w:val="19"/>
              </w:rPr>
            </w:pPr>
          </w:p>
        </w:tc>
        <w:tc>
          <w:tcPr>
            <w:tcW w:w="8365" w:type="dxa"/>
            <w:gridSpan w:val="7"/>
          </w:tcPr>
          <w:p w14:paraId="23C12A0F" w14:textId="1F2F9D72" w:rsidR="007E5BF0" w:rsidRPr="00BA7C37" w:rsidRDefault="007E5BF0" w:rsidP="54FDEEE5">
            <w:pPr>
              <w:widowControl w:val="0"/>
              <w:rPr>
                <w:sz w:val="19"/>
                <w:szCs w:val="19"/>
              </w:rPr>
            </w:pPr>
            <w:r w:rsidRPr="54FDEEE5">
              <w:rPr>
                <w:b/>
                <w:bCs/>
                <w:sz w:val="19"/>
                <w:szCs w:val="19"/>
              </w:rPr>
              <w:t xml:space="preserve">Uses of Funds: </w:t>
            </w:r>
            <w:r w:rsidRPr="54FDEEE5">
              <w:rPr>
                <w:sz w:val="19"/>
                <w:szCs w:val="19"/>
              </w:rPr>
              <w:t xml:space="preserve">Acquisition, Administration and Planning, Economic Development, Housing, Public Improvements, Public Services, and Homeowner Rehabilitation. National Objectives include Low and Moderate Income and Slums and Blight. </w:t>
            </w:r>
          </w:p>
        </w:tc>
      </w:tr>
      <w:tr w:rsidR="00A01D23" w:rsidRPr="00F83852" w14:paraId="34339A7D" w14:textId="77777777" w:rsidTr="00295915">
        <w:trPr>
          <w:cantSplit/>
          <w:trHeight w:val="300"/>
        </w:trPr>
        <w:tc>
          <w:tcPr>
            <w:tcW w:w="985" w:type="dxa"/>
            <w:vMerge w:val="restart"/>
            <w:shd w:val="clear" w:color="auto" w:fill="DDE6E7"/>
            <w:vAlign w:val="center"/>
          </w:tcPr>
          <w:p w14:paraId="30E7C3B6" w14:textId="77777777" w:rsidR="007E5BF0" w:rsidRPr="00BA7C37" w:rsidRDefault="007E5BF0" w:rsidP="0044257C">
            <w:pPr>
              <w:widowControl w:val="0"/>
              <w:rPr>
                <w:bCs/>
                <w:sz w:val="19"/>
                <w:szCs w:val="19"/>
              </w:rPr>
            </w:pPr>
            <w:r w:rsidRPr="00BA7C37">
              <w:rPr>
                <w:bCs/>
                <w:sz w:val="19"/>
                <w:szCs w:val="19"/>
              </w:rPr>
              <w:t>HOME</w:t>
            </w:r>
          </w:p>
        </w:tc>
        <w:tc>
          <w:tcPr>
            <w:tcW w:w="900" w:type="dxa"/>
            <w:vAlign w:val="center"/>
          </w:tcPr>
          <w:p w14:paraId="464BFA41" w14:textId="77777777" w:rsidR="007E5BF0" w:rsidRPr="00BA7C37" w:rsidRDefault="007E5BF0" w:rsidP="0044257C">
            <w:pPr>
              <w:widowControl w:val="0"/>
              <w:rPr>
                <w:bCs/>
                <w:sz w:val="19"/>
                <w:szCs w:val="19"/>
              </w:rPr>
            </w:pPr>
            <w:r w:rsidRPr="00BA7C37">
              <w:rPr>
                <w:bCs/>
                <w:sz w:val="19"/>
                <w:szCs w:val="19"/>
              </w:rPr>
              <w:t>Public/ Federal</w:t>
            </w:r>
          </w:p>
        </w:tc>
        <w:tc>
          <w:tcPr>
            <w:tcW w:w="1350" w:type="dxa"/>
            <w:vAlign w:val="center"/>
          </w:tcPr>
          <w:p w14:paraId="3DAB8AFE" w14:textId="3A516669" w:rsidR="007E5BF0" w:rsidRPr="004F2FD0" w:rsidRDefault="277AEEF1" w:rsidP="77A3D6BC">
            <w:pPr>
              <w:widowControl w:val="0"/>
              <w:jc w:val="right"/>
              <w:rPr>
                <w:sz w:val="19"/>
                <w:szCs w:val="19"/>
              </w:rPr>
            </w:pPr>
            <w:r w:rsidRPr="331F13D3">
              <w:rPr>
                <w:sz w:val="19"/>
                <w:szCs w:val="19"/>
              </w:rPr>
              <w:t>$3,000,000</w:t>
            </w:r>
          </w:p>
          <w:p w14:paraId="6BCC60FC" w14:textId="5FD2A15C" w:rsidR="007E5BF0" w:rsidRPr="004F2FD0" w:rsidRDefault="007E5BF0" w:rsidP="77A3D6BC">
            <w:pPr>
              <w:widowControl w:val="0"/>
              <w:jc w:val="right"/>
              <w:rPr>
                <w:sz w:val="19"/>
                <w:szCs w:val="19"/>
              </w:rPr>
            </w:pPr>
          </w:p>
        </w:tc>
        <w:tc>
          <w:tcPr>
            <w:tcW w:w="990" w:type="dxa"/>
            <w:vAlign w:val="center"/>
          </w:tcPr>
          <w:p w14:paraId="1AB1876E" w14:textId="68817CE4" w:rsidR="007E5BF0" w:rsidRPr="004F2FD0" w:rsidRDefault="2C7932DB" w:rsidP="0023706D">
            <w:pPr>
              <w:widowControl w:val="0"/>
              <w:jc w:val="right"/>
              <w:rPr>
                <w:rFonts w:ascii="Calibri" w:eastAsia="Calibri" w:hAnsi="Calibri" w:cs="Calibri"/>
                <w:sz w:val="19"/>
                <w:szCs w:val="19"/>
              </w:rPr>
            </w:pPr>
            <w:r w:rsidRPr="331F13D3">
              <w:rPr>
                <w:sz w:val="19"/>
                <w:szCs w:val="19"/>
              </w:rPr>
              <w:t>$500,000</w:t>
            </w:r>
          </w:p>
        </w:tc>
        <w:tc>
          <w:tcPr>
            <w:tcW w:w="1080" w:type="dxa"/>
            <w:vAlign w:val="center"/>
          </w:tcPr>
          <w:p w14:paraId="27A53F62" w14:textId="46ABDF8F" w:rsidR="007E5BF0" w:rsidRPr="004F2FD0" w:rsidRDefault="0BE0C8C8" w:rsidP="00A75DA5">
            <w:pPr>
              <w:widowControl w:val="0"/>
              <w:spacing w:after="240"/>
              <w:jc w:val="right"/>
              <w:rPr>
                <w:sz w:val="19"/>
                <w:szCs w:val="19"/>
              </w:rPr>
            </w:pPr>
            <w:r w:rsidRPr="331F13D3">
              <w:rPr>
                <w:sz w:val="19"/>
                <w:szCs w:val="19"/>
              </w:rPr>
              <w:t xml:space="preserve">$0 </w:t>
            </w:r>
          </w:p>
        </w:tc>
        <w:tc>
          <w:tcPr>
            <w:tcW w:w="1350" w:type="dxa"/>
            <w:vAlign w:val="center"/>
          </w:tcPr>
          <w:p w14:paraId="097D63D4" w14:textId="6BDD06CF" w:rsidR="007E5BF0" w:rsidRPr="004F2FD0" w:rsidRDefault="0BE80E06" w:rsidP="00A75DA5">
            <w:pPr>
              <w:widowControl w:val="0"/>
              <w:spacing w:after="240"/>
              <w:jc w:val="right"/>
              <w:rPr>
                <w:sz w:val="19"/>
                <w:szCs w:val="19"/>
              </w:rPr>
            </w:pPr>
            <w:r w:rsidRPr="4BD80007">
              <w:rPr>
                <w:sz w:val="19"/>
                <w:szCs w:val="19"/>
              </w:rPr>
              <w:t>$</w:t>
            </w:r>
            <w:r w:rsidR="0C0E2D00" w:rsidRPr="4BD80007">
              <w:rPr>
                <w:sz w:val="19"/>
                <w:szCs w:val="19"/>
              </w:rPr>
              <w:t>3,500,000</w:t>
            </w:r>
            <w:r w:rsidRPr="4BD80007">
              <w:rPr>
                <w:sz w:val="19"/>
                <w:szCs w:val="19"/>
              </w:rPr>
              <w:t xml:space="preserve"> </w:t>
            </w:r>
          </w:p>
        </w:tc>
        <w:tc>
          <w:tcPr>
            <w:tcW w:w="1350" w:type="dxa"/>
            <w:vAlign w:val="center"/>
          </w:tcPr>
          <w:p w14:paraId="2A6B6B99" w14:textId="50C92184" w:rsidR="007E5BF0" w:rsidRPr="004F2FD0" w:rsidRDefault="40B52EF5" w:rsidP="1376ECC8">
            <w:pPr>
              <w:widowControl w:val="0"/>
              <w:jc w:val="right"/>
              <w:rPr>
                <w:sz w:val="19"/>
                <w:szCs w:val="19"/>
              </w:rPr>
            </w:pPr>
            <w:r w:rsidRPr="331F13D3">
              <w:rPr>
                <w:sz w:val="19"/>
                <w:szCs w:val="19"/>
              </w:rPr>
              <w:t xml:space="preserve">$3,500,000 </w:t>
            </w:r>
          </w:p>
        </w:tc>
        <w:tc>
          <w:tcPr>
            <w:tcW w:w="1345" w:type="dxa"/>
            <w:vAlign w:val="center"/>
          </w:tcPr>
          <w:p w14:paraId="760B8D2B" w14:textId="7D921537" w:rsidR="007E5BF0" w:rsidRPr="00BA7C37" w:rsidRDefault="007E5BF0" w:rsidP="30C7FF53">
            <w:pPr>
              <w:widowControl w:val="0"/>
              <w:rPr>
                <w:sz w:val="19"/>
                <w:szCs w:val="19"/>
              </w:rPr>
            </w:pPr>
            <w:r w:rsidRPr="30C7FF53">
              <w:rPr>
                <w:sz w:val="19"/>
                <w:szCs w:val="19"/>
              </w:rPr>
              <w:t xml:space="preserve">State </w:t>
            </w:r>
            <w:proofErr w:type="gramStart"/>
            <w:r w:rsidRPr="30C7FF53">
              <w:rPr>
                <w:sz w:val="19"/>
                <w:szCs w:val="19"/>
              </w:rPr>
              <w:t>allocation;</w:t>
            </w:r>
            <w:proofErr w:type="gramEnd"/>
            <w:r w:rsidRPr="30C7FF53">
              <w:rPr>
                <w:sz w:val="19"/>
                <w:szCs w:val="19"/>
              </w:rPr>
              <w:t xml:space="preserve"> HOME funds matched by recipients</w:t>
            </w:r>
          </w:p>
        </w:tc>
      </w:tr>
      <w:tr w:rsidR="007E5BF0" w:rsidRPr="00F83852" w14:paraId="07D7876A" w14:textId="77777777" w:rsidTr="006D0280">
        <w:trPr>
          <w:cantSplit/>
          <w:trHeight w:val="300"/>
        </w:trPr>
        <w:tc>
          <w:tcPr>
            <w:tcW w:w="985" w:type="dxa"/>
            <w:vMerge/>
            <w:vAlign w:val="center"/>
          </w:tcPr>
          <w:p w14:paraId="3ABA8E98" w14:textId="77777777" w:rsidR="007E5BF0" w:rsidRPr="00F03E95" w:rsidRDefault="007E5BF0" w:rsidP="0044257C">
            <w:pPr>
              <w:widowControl w:val="0"/>
              <w:rPr>
                <w:bCs/>
                <w:sz w:val="19"/>
                <w:szCs w:val="19"/>
              </w:rPr>
            </w:pPr>
          </w:p>
        </w:tc>
        <w:tc>
          <w:tcPr>
            <w:tcW w:w="8365" w:type="dxa"/>
            <w:gridSpan w:val="7"/>
          </w:tcPr>
          <w:p w14:paraId="21FD2740" w14:textId="70B60FF2" w:rsidR="007E5BF0" w:rsidRPr="00BA7C37" w:rsidRDefault="007E5BF0" w:rsidP="54FDEEE5">
            <w:pPr>
              <w:widowControl w:val="0"/>
              <w:rPr>
                <w:sz w:val="19"/>
                <w:szCs w:val="19"/>
              </w:rPr>
            </w:pPr>
            <w:r w:rsidRPr="54FDEEE5">
              <w:rPr>
                <w:b/>
                <w:bCs/>
                <w:sz w:val="19"/>
                <w:szCs w:val="19"/>
              </w:rPr>
              <w:t>Uses of Funds:</w:t>
            </w:r>
            <w:r w:rsidRPr="54FDEEE5">
              <w:rPr>
                <w:sz w:val="19"/>
                <w:szCs w:val="19"/>
              </w:rPr>
              <w:t xml:space="preserve"> Acquisition, Administration, Homebuyer Assistance, Multifamily New Construction, Multifamily Rehabilitation, and New Construction for Ownership. </w:t>
            </w:r>
          </w:p>
        </w:tc>
      </w:tr>
      <w:tr w:rsidR="00A01D23" w:rsidRPr="00F83852" w14:paraId="3E6C80D9" w14:textId="77777777" w:rsidTr="00295915">
        <w:trPr>
          <w:cantSplit/>
          <w:trHeight w:val="300"/>
        </w:trPr>
        <w:tc>
          <w:tcPr>
            <w:tcW w:w="985" w:type="dxa"/>
            <w:vMerge w:val="restart"/>
            <w:shd w:val="clear" w:color="auto" w:fill="DDE6E7"/>
            <w:vAlign w:val="center"/>
          </w:tcPr>
          <w:p w14:paraId="727293B8" w14:textId="77777777" w:rsidR="007E5BF0" w:rsidRPr="00094789" w:rsidRDefault="007E5BF0" w:rsidP="0044257C">
            <w:pPr>
              <w:widowControl w:val="0"/>
              <w:rPr>
                <w:bCs/>
                <w:sz w:val="19"/>
                <w:szCs w:val="19"/>
              </w:rPr>
            </w:pPr>
            <w:r w:rsidRPr="00094789">
              <w:rPr>
                <w:bCs/>
                <w:sz w:val="19"/>
                <w:szCs w:val="19"/>
              </w:rPr>
              <w:t>HOPWA</w:t>
            </w:r>
          </w:p>
        </w:tc>
        <w:tc>
          <w:tcPr>
            <w:tcW w:w="900" w:type="dxa"/>
            <w:vAlign w:val="center"/>
          </w:tcPr>
          <w:p w14:paraId="3099EC1C" w14:textId="77777777" w:rsidR="007E5BF0" w:rsidRPr="00094789" w:rsidRDefault="007E5BF0" w:rsidP="0044257C">
            <w:pPr>
              <w:widowControl w:val="0"/>
              <w:rPr>
                <w:bCs/>
                <w:sz w:val="19"/>
                <w:szCs w:val="19"/>
              </w:rPr>
            </w:pPr>
            <w:r w:rsidRPr="00094789">
              <w:rPr>
                <w:bCs/>
                <w:sz w:val="19"/>
                <w:szCs w:val="19"/>
              </w:rPr>
              <w:t>Public/ Federal</w:t>
            </w:r>
          </w:p>
        </w:tc>
        <w:tc>
          <w:tcPr>
            <w:tcW w:w="1350" w:type="dxa"/>
            <w:vAlign w:val="center"/>
          </w:tcPr>
          <w:p w14:paraId="70FE353A" w14:textId="7B9C3B17" w:rsidR="007E5BF0" w:rsidRPr="00094789" w:rsidRDefault="007E5BF0" w:rsidP="77A3D6BC">
            <w:pPr>
              <w:widowControl w:val="0"/>
              <w:jc w:val="right"/>
              <w:rPr>
                <w:sz w:val="19"/>
                <w:szCs w:val="19"/>
              </w:rPr>
            </w:pPr>
            <w:r w:rsidRPr="77A3D6BC">
              <w:rPr>
                <w:sz w:val="19"/>
                <w:szCs w:val="19"/>
              </w:rPr>
              <w:t>$0</w:t>
            </w:r>
          </w:p>
          <w:p w14:paraId="1C03C82A" w14:textId="4F0DF120" w:rsidR="007E5BF0" w:rsidRPr="00094789" w:rsidRDefault="007E5BF0" w:rsidP="77A3D6BC">
            <w:pPr>
              <w:widowControl w:val="0"/>
              <w:jc w:val="right"/>
              <w:rPr>
                <w:sz w:val="19"/>
                <w:szCs w:val="19"/>
              </w:rPr>
            </w:pPr>
          </w:p>
        </w:tc>
        <w:tc>
          <w:tcPr>
            <w:tcW w:w="990" w:type="dxa"/>
            <w:vAlign w:val="center"/>
          </w:tcPr>
          <w:p w14:paraId="5822AC80" w14:textId="77777777" w:rsidR="007E5BF0" w:rsidRPr="00094789" w:rsidRDefault="007E5BF0" w:rsidP="0044257C">
            <w:pPr>
              <w:widowControl w:val="0"/>
              <w:jc w:val="right"/>
              <w:rPr>
                <w:bCs/>
                <w:sz w:val="19"/>
                <w:szCs w:val="19"/>
              </w:rPr>
            </w:pPr>
            <w:r w:rsidRPr="00094789">
              <w:rPr>
                <w:bCs/>
                <w:sz w:val="19"/>
                <w:szCs w:val="19"/>
              </w:rPr>
              <w:t>$0</w:t>
            </w:r>
          </w:p>
        </w:tc>
        <w:tc>
          <w:tcPr>
            <w:tcW w:w="1080" w:type="dxa"/>
            <w:vAlign w:val="center"/>
          </w:tcPr>
          <w:p w14:paraId="4540A203" w14:textId="77777777" w:rsidR="007E5BF0" w:rsidRPr="00094789" w:rsidRDefault="007E5BF0" w:rsidP="0044257C">
            <w:pPr>
              <w:widowControl w:val="0"/>
              <w:jc w:val="right"/>
              <w:rPr>
                <w:bCs/>
                <w:sz w:val="19"/>
                <w:szCs w:val="19"/>
              </w:rPr>
            </w:pPr>
            <w:r w:rsidRPr="00094789">
              <w:rPr>
                <w:bCs/>
                <w:sz w:val="19"/>
                <w:szCs w:val="19"/>
              </w:rPr>
              <w:t>$0</w:t>
            </w:r>
          </w:p>
        </w:tc>
        <w:tc>
          <w:tcPr>
            <w:tcW w:w="1350" w:type="dxa"/>
            <w:vAlign w:val="center"/>
          </w:tcPr>
          <w:p w14:paraId="5B941C10" w14:textId="77777777" w:rsidR="007E5BF0" w:rsidRPr="00094789" w:rsidRDefault="007E5BF0" w:rsidP="0044257C">
            <w:pPr>
              <w:widowControl w:val="0"/>
              <w:jc w:val="right"/>
              <w:rPr>
                <w:bCs/>
                <w:sz w:val="19"/>
                <w:szCs w:val="19"/>
              </w:rPr>
            </w:pPr>
            <w:r w:rsidRPr="00094789">
              <w:rPr>
                <w:bCs/>
                <w:sz w:val="19"/>
                <w:szCs w:val="19"/>
              </w:rPr>
              <w:t>$0</w:t>
            </w:r>
          </w:p>
        </w:tc>
        <w:tc>
          <w:tcPr>
            <w:tcW w:w="1350" w:type="dxa"/>
            <w:vAlign w:val="center"/>
          </w:tcPr>
          <w:p w14:paraId="5C057CE2" w14:textId="77777777" w:rsidR="007E5BF0" w:rsidRPr="00094789" w:rsidRDefault="007E5BF0" w:rsidP="0044257C">
            <w:pPr>
              <w:widowControl w:val="0"/>
              <w:jc w:val="right"/>
              <w:rPr>
                <w:bCs/>
                <w:sz w:val="19"/>
                <w:szCs w:val="19"/>
              </w:rPr>
            </w:pPr>
            <w:r w:rsidRPr="00094789">
              <w:rPr>
                <w:bCs/>
                <w:sz w:val="19"/>
                <w:szCs w:val="19"/>
              </w:rPr>
              <w:t>$0</w:t>
            </w:r>
          </w:p>
        </w:tc>
        <w:tc>
          <w:tcPr>
            <w:tcW w:w="1345" w:type="dxa"/>
            <w:vAlign w:val="center"/>
          </w:tcPr>
          <w:p w14:paraId="5994D998" w14:textId="77777777" w:rsidR="007E5BF0" w:rsidRPr="00094789" w:rsidRDefault="007E5BF0" w:rsidP="0044257C">
            <w:pPr>
              <w:widowControl w:val="0"/>
              <w:rPr>
                <w:bCs/>
                <w:sz w:val="19"/>
                <w:szCs w:val="19"/>
              </w:rPr>
            </w:pPr>
            <w:r w:rsidRPr="00094789">
              <w:rPr>
                <w:sz w:val="19"/>
                <w:szCs w:val="19"/>
              </w:rPr>
              <w:t>Montana only receives HOPWA competitive funds</w:t>
            </w:r>
          </w:p>
        </w:tc>
      </w:tr>
      <w:tr w:rsidR="007E5BF0" w:rsidRPr="00F83852" w14:paraId="27D15F18" w14:textId="77777777" w:rsidTr="006D0280">
        <w:trPr>
          <w:cantSplit/>
          <w:trHeight w:val="300"/>
        </w:trPr>
        <w:tc>
          <w:tcPr>
            <w:tcW w:w="985" w:type="dxa"/>
            <w:vMerge/>
            <w:vAlign w:val="center"/>
          </w:tcPr>
          <w:p w14:paraId="6397DC7F" w14:textId="77777777" w:rsidR="007E5BF0" w:rsidRPr="00F03E95" w:rsidRDefault="007E5BF0" w:rsidP="0044257C">
            <w:pPr>
              <w:widowControl w:val="0"/>
              <w:rPr>
                <w:bCs/>
                <w:sz w:val="19"/>
                <w:szCs w:val="19"/>
              </w:rPr>
            </w:pPr>
          </w:p>
        </w:tc>
        <w:tc>
          <w:tcPr>
            <w:tcW w:w="8365" w:type="dxa"/>
            <w:gridSpan w:val="7"/>
          </w:tcPr>
          <w:p w14:paraId="53F2E1E8" w14:textId="77777777" w:rsidR="007E5BF0" w:rsidRPr="00F03E95" w:rsidRDefault="007E5BF0" w:rsidP="0044257C">
            <w:pPr>
              <w:widowControl w:val="0"/>
              <w:rPr>
                <w:bCs/>
                <w:sz w:val="19"/>
                <w:szCs w:val="19"/>
              </w:rPr>
            </w:pPr>
            <w:r w:rsidRPr="00F03E95">
              <w:rPr>
                <w:b/>
                <w:sz w:val="19"/>
                <w:szCs w:val="19"/>
              </w:rPr>
              <w:t>Uses of Funds:</w:t>
            </w:r>
            <w:r w:rsidRPr="00F03E95">
              <w:rPr>
                <w:bCs/>
                <w:sz w:val="19"/>
                <w:szCs w:val="19"/>
              </w:rPr>
              <w:t xml:space="preserve"> N/A</w:t>
            </w:r>
          </w:p>
        </w:tc>
      </w:tr>
      <w:tr w:rsidR="00A01D23" w:rsidRPr="00F83852" w14:paraId="02889003" w14:textId="77777777" w:rsidTr="00295915">
        <w:trPr>
          <w:cantSplit/>
          <w:trHeight w:val="300"/>
        </w:trPr>
        <w:tc>
          <w:tcPr>
            <w:tcW w:w="985" w:type="dxa"/>
            <w:vMerge w:val="restart"/>
            <w:shd w:val="clear" w:color="auto" w:fill="DDE6E7"/>
            <w:vAlign w:val="center"/>
          </w:tcPr>
          <w:p w14:paraId="2639DF15" w14:textId="77777777" w:rsidR="007E5BF0" w:rsidRPr="00C66AC4" w:rsidRDefault="007E5BF0" w:rsidP="0044257C">
            <w:pPr>
              <w:widowControl w:val="0"/>
              <w:rPr>
                <w:bCs/>
                <w:sz w:val="19"/>
                <w:szCs w:val="19"/>
              </w:rPr>
            </w:pPr>
            <w:r w:rsidRPr="00C66AC4">
              <w:rPr>
                <w:bCs/>
                <w:sz w:val="19"/>
                <w:szCs w:val="19"/>
              </w:rPr>
              <w:t>ESG</w:t>
            </w:r>
          </w:p>
        </w:tc>
        <w:tc>
          <w:tcPr>
            <w:tcW w:w="900" w:type="dxa"/>
            <w:vAlign w:val="center"/>
          </w:tcPr>
          <w:p w14:paraId="152FE76C" w14:textId="77777777" w:rsidR="007E5BF0" w:rsidRPr="00C66AC4" w:rsidRDefault="007E5BF0" w:rsidP="0044257C">
            <w:pPr>
              <w:widowControl w:val="0"/>
              <w:rPr>
                <w:bCs/>
                <w:sz w:val="19"/>
                <w:szCs w:val="19"/>
              </w:rPr>
            </w:pPr>
            <w:r w:rsidRPr="00C66AC4">
              <w:rPr>
                <w:bCs/>
                <w:sz w:val="19"/>
                <w:szCs w:val="19"/>
              </w:rPr>
              <w:t>Public/ Federal</w:t>
            </w:r>
          </w:p>
        </w:tc>
        <w:tc>
          <w:tcPr>
            <w:tcW w:w="1350" w:type="dxa"/>
            <w:vAlign w:val="center"/>
          </w:tcPr>
          <w:p w14:paraId="6936B423" w14:textId="77777777" w:rsidR="0023706D" w:rsidRDefault="0023706D" w:rsidP="77A3D6BC">
            <w:pPr>
              <w:widowControl w:val="0"/>
              <w:jc w:val="right"/>
              <w:rPr>
                <w:sz w:val="19"/>
                <w:szCs w:val="19"/>
              </w:rPr>
            </w:pPr>
          </w:p>
          <w:p w14:paraId="6B24DF2A" w14:textId="361BA95E" w:rsidR="007E5BF0" w:rsidRPr="00F041CE" w:rsidRDefault="0023706D" w:rsidP="77A3D6BC">
            <w:pPr>
              <w:widowControl w:val="0"/>
              <w:jc w:val="right"/>
              <w:rPr>
                <w:sz w:val="19"/>
                <w:szCs w:val="19"/>
              </w:rPr>
            </w:pPr>
            <w:r>
              <w:rPr>
                <w:sz w:val="19"/>
                <w:szCs w:val="19"/>
              </w:rPr>
              <w:t>$</w:t>
            </w:r>
            <w:r w:rsidR="00F3635F">
              <w:rPr>
                <w:sz w:val="19"/>
                <w:szCs w:val="19"/>
              </w:rPr>
              <w:t>744,418</w:t>
            </w:r>
          </w:p>
          <w:p w14:paraId="69CDD5F3" w14:textId="618E271F" w:rsidR="007E5BF0" w:rsidRPr="00F041CE" w:rsidRDefault="007E5BF0" w:rsidP="77A3D6BC">
            <w:pPr>
              <w:widowControl w:val="0"/>
              <w:jc w:val="right"/>
              <w:rPr>
                <w:sz w:val="19"/>
                <w:szCs w:val="19"/>
              </w:rPr>
            </w:pPr>
          </w:p>
        </w:tc>
        <w:tc>
          <w:tcPr>
            <w:tcW w:w="990" w:type="dxa"/>
            <w:vAlign w:val="center"/>
          </w:tcPr>
          <w:p w14:paraId="1895C291" w14:textId="77777777" w:rsidR="007E5BF0" w:rsidRPr="00F041CE" w:rsidRDefault="007E5BF0" w:rsidP="0044257C">
            <w:pPr>
              <w:widowControl w:val="0"/>
              <w:jc w:val="right"/>
              <w:rPr>
                <w:bCs/>
                <w:sz w:val="19"/>
                <w:szCs w:val="19"/>
              </w:rPr>
            </w:pPr>
            <w:r w:rsidRPr="00F041CE">
              <w:rPr>
                <w:bCs/>
                <w:sz w:val="19"/>
                <w:szCs w:val="19"/>
              </w:rPr>
              <w:t>$0</w:t>
            </w:r>
          </w:p>
        </w:tc>
        <w:tc>
          <w:tcPr>
            <w:tcW w:w="1080" w:type="dxa"/>
            <w:vAlign w:val="center"/>
          </w:tcPr>
          <w:p w14:paraId="4455EEBF" w14:textId="77777777" w:rsidR="007E5BF0" w:rsidRPr="00F041CE" w:rsidRDefault="1664CBFB" w:rsidP="414323AB">
            <w:pPr>
              <w:widowControl w:val="0"/>
              <w:jc w:val="right"/>
              <w:rPr>
                <w:sz w:val="19"/>
                <w:szCs w:val="19"/>
              </w:rPr>
            </w:pPr>
            <w:r w:rsidRPr="00A75DA5">
              <w:rPr>
                <w:sz w:val="19"/>
                <w:szCs w:val="19"/>
              </w:rPr>
              <w:t>$0</w:t>
            </w:r>
          </w:p>
        </w:tc>
        <w:tc>
          <w:tcPr>
            <w:tcW w:w="1350" w:type="dxa"/>
            <w:vAlign w:val="center"/>
          </w:tcPr>
          <w:p w14:paraId="2FB4E676" w14:textId="3D50BF2B" w:rsidR="007E5BF0" w:rsidRPr="002D6085" w:rsidRDefault="0023706D" w:rsidP="1376ECC8">
            <w:pPr>
              <w:widowControl w:val="0"/>
              <w:jc w:val="right"/>
              <w:rPr>
                <w:sz w:val="19"/>
                <w:szCs w:val="19"/>
              </w:rPr>
            </w:pPr>
            <w:r>
              <w:rPr>
                <w:sz w:val="19"/>
                <w:szCs w:val="19"/>
              </w:rPr>
              <w:t>$</w:t>
            </w:r>
            <w:r w:rsidR="00F3635F">
              <w:rPr>
                <w:sz w:val="19"/>
                <w:szCs w:val="19"/>
              </w:rPr>
              <w:t>744,418</w:t>
            </w:r>
          </w:p>
        </w:tc>
        <w:tc>
          <w:tcPr>
            <w:tcW w:w="1350" w:type="dxa"/>
            <w:vAlign w:val="center"/>
          </w:tcPr>
          <w:p w14:paraId="49FA04DF" w14:textId="50B73C0E" w:rsidR="007E5BF0" w:rsidRPr="002D6085" w:rsidRDefault="0023706D" w:rsidP="0044257C">
            <w:pPr>
              <w:widowControl w:val="0"/>
              <w:jc w:val="right"/>
              <w:rPr>
                <w:bCs/>
                <w:sz w:val="19"/>
                <w:szCs w:val="19"/>
              </w:rPr>
            </w:pPr>
            <w:r>
              <w:rPr>
                <w:bCs/>
                <w:sz w:val="19"/>
                <w:szCs w:val="19"/>
              </w:rPr>
              <w:t>$</w:t>
            </w:r>
            <w:r w:rsidR="00F3635F">
              <w:rPr>
                <w:bCs/>
                <w:sz w:val="19"/>
                <w:szCs w:val="19"/>
              </w:rPr>
              <w:t>744,418</w:t>
            </w:r>
          </w:p>
        </w:tc>
        <w:tc>
          <w:tcPr>
            <w:tcW w:w="1345" w:type="dxa"/>
            <w:vAlign w:val="center"/>
          </w:tcPr>
          <w:p w14:paraId="1799CE35" w14:textId="77777777" w:rsidR="007E5BF0" w:rsidRPr="00C66AC4" w:rsidRDefault="007E5BF0" w:rsidP="6BAB5C2E">
            <w:pPr>
              <w:widowControl w:val="0"/>
              <w:rPr>
                <w:sz w:val="19"/>
                <w:szCs w:val="19"/>
              </w:rPr>
            </w:pPr>
            <w:r w:rsidRPr="6BAB5C2E">
              <w:rPr>
                <w:sz w:val="19"/>
                <w:szCs w:val="19"/>
              </w:rPr>
              <w:t xml:space="preserve">State </w:t>
            </w:r>
            <w:proofErr w:type="gramStart"/>
            <w:r w:rsidRPr="6BAB5C2E">
              <w:rPr>
                <w:sz w:val="19"/>
                <w:szCs w:val="19"/>
              </w:rPr>
              <w:t>allocation;</w:t>
            </w:r>
            <w:proofErr w:type="gramEnd"/>
            <w:r w:rsidRPr="6BAB5C2E">
              <w:rPr>
                <w:sz w:val="19"/>
                <w:szCs w:val="19"/>
              </w:rPr>
              <w:t xml:space="preserve"> ESG funds matched by subrecipients</w:t>
            </w:r>
          </w:p>
        </w:tc>
      </w:tr>
      <w:tr w:rsidR="007E5BF0" w:rsidRPr="00F83852" w14:paraId="1783C9D8" w14:textId="77777777" w:rsidTr="006D0280">
        <w:trPr>
          <w:cantSplit/>
          <w:trHeight w:val="300"/>
        </w:trPr>
        <w:tc>
          <w:tcPr>
            <w:tcW w:w="985" w:type="dxa"/>
            <w:vMerge/>
            <w:vAlign w:val="center"/>
          </w:tcPr>
          <w:p w14:paraId="4C0984E0" w14:textId="77777777" w:rsidR="007E5BF0" w:rsidRPr="00F03E95" w:rsidRDefault="007E5BF0" w:rsidP="0044257C">
            <w:pPr>
              <w:widowControl w:val="0"/>
              <w:rPr>
                <w:bCs/>
                <w:sz w:val="20"/>
                <w:szCs w:val="20"/>
              </w:rPr>
            </w:pPr>
          </w:p>
        </w:tc>
        <w:tc>
          <w:tcPr>
            <w:tcW w:w="8365" w:type="dxa"/>
            <w:gridSpan w:val="7"/>
          </w:tcPr>
          <w:p w14:paraId="243B71A7" w14:textId="19DB80C3" w:rsidR="007E5BF0" w:rsidRPr="00C66AC4" w:rsidRDefault="007E5BF0" w:rsidP="2F69EFA0">
            <w:pPr>
              <w:widowControl w:val="0"/>
              <w:rPr>
                <w:sz w:val="19"/>
                <w:szCs w:val="19"/>
              </w:rPr>
            </w:pPr>
            <w:r w:rsidRPr="30C7FF53">
              <w:rPr>
                <w:b/>
                <w:bCs/>
                <w:sz w:val="19"/>
                <w:szCs w:val="19"/>
              </w:rPr>
              <w:t>Uses of Funds:</w:t>
            </w:r>
            <w:r w:rsidRPr="30C7FF53">
              <w:rPr>
                <w:sz w:val="19"/>
                <w:szCs w:val="19"/>
              </w:rPr>
              <w:t xml:space="preserve"> Financial Assistance, Homeless Prevention, </w:t>
            </w:r>
            <w:r w:rsidR="051A5BA2" w:rsidRPr="30C7FF53">
              <w:rPr>
                <w:sz w:val="19"/>
                <w:szCs w:val="19"/>
              </w:rPr>
              <w:t>Emergency</w:t>
            </w:r>
            <w:r w:rsidRPr="30C7FF53">
              <w:rPr>
                <w:sz w:val="19"/>
                <w:szCs w:val="19"/>
              </w:rPr>
              <w:t xml:space="preserve"> Shelter, Rapid Re-</w:t>
            </w:r>
            <w:proofErr w:type="gramStart"/>
            <w:r w:rsidRPr="30C7FF53">
              <w:rPr>
                <w:sz w:val="19"/>
                <w:szCs w:val="19"/>
              </w:rPr>
              <w:t>housing ,</w:t>
            </w:r>
            <w:proofErr w:type="gramEnd"/>
            <w:r w:rsidRPr="30C7FF53">
              <w:rPr>
                <w:sz w:val="19"/>
                <w:szCs w:val="19"/>
              </w:rPr>
              <w:t xml:space="preserve"> Rental Assistance Services, and Street Outreach.</w:t>
            </w:r>
          </w:p>
        </w:tc>
      </w:tr>
      <w:tr w:rsidR="00A01D23" w:rsidRPr="00F83852" w14:paraId="19F44AEF" w14:textId="77777777" w:rsidTr="00295915">
        <w:trPr>
          <w:cantSplit/>
          <w:trHeight w:val="300"/>
        </w:trPr>
        <w:tc>
          <w:tcPr>
            <w:tcW w:w="985" w:type="dxa"/>
            <w:vMerge w:val="restart"/>
            <w:shd w:val="clear" w:color="auto" w:fill="DDE6E7"/>
            <w:vAlign w:val="center"/>
          </w:tcPr>
          <w:p w14:paraId="35E32375" w14:textId="77777777" w:rsidR="007E5BF0" w:rsidRPr="00882DB5" w:rsidRDefault="007E5BF0" w:rsidP="0044257C">
            <w:pPr>
              <w:widowControl w:val="0"/>
              <w:rPr>
                <w:bCs/>
                <w:sz w:val="19"/>
                <w:szCs w:val="19"/>
              </w:rPr>
            </w:pPr>
            <w:r w:rsidRPr="00882DB5">
              <w:rPr>
                <w:bCs/>
                <w:sz w:val="19"/>
                <w:szCs w:val="19"/>
              </w:rPr>
              <w:t>HTF</w:t>
            </w:r>
          </w:p>
        </w:tc>
        <w:tc>
          <w:tcPr>
            <w:tcW w:w="900" w:type="dxa"/>
            <w:vAlign w:val="center"/>
          </w:tcPr>
          <w:p w14:paraId="65D41DFD" w14:textId="77777777" w:rsidR="007E5BF0" w:rsidRPr="00882DB5" w:rsidRDefault="007E5BF0" w:rsidP="0044257C">
            <w:pPr>
              <w:widowControl w:val="0"/>
              <w:rPr>
                <w:bCs/>
                <w:sz w:val="19"/>
                <w:szCs w:val="19"/>
              </w:rPr>
            </w:pPr>
            <w:r w:rsidRPr="00882DB5">
              <w:rPr>
                <w:bCs/>
                <w:sz w:val="19"/>
                <w:szCs w:val="19"/>
              </w:rPr>
              <w:t>Public/ Federal</w:t>
            </w:r>
          </w:p>
        </w:tc>
        <w:tc>
          <w:tcPr>
            <w:tcW w:w="1350" w:type="dxa"/>
            <w:vAlign w:val="center"/>
          </w:tcPr>
          <w:p w14:paraId="1CF2622D" w14:textId="77777777" w:rsidR="00A01D23" w:rsidRPr="002F4A22" w:rsidRDefault="00A01D23" w:rsidP="77A3D6BC">
            <w:pPr>
              <w:widowControl w:val="0"/>
              <w:jc w:val="right"/>
              <w:rPr>
                <w:sz w:val="19"/>
                <w:szCs w:val="19"/>
              </w:rPr>
            </w:pPr>
          </w:p>
          <w:p w14:paraId="14C123AA" w14:textId="22322203" w:rsidR="007E5BF0" w:rsidRPr="002F4A22" w:rsidRDefault="1895C96C" w:rsidP="77A3D6BC">
            <w:pPr>
              <w:widowControl w:val="0"/>
              <w:jc w:val="right"/>
              <w:rPr>
                <w:sz w:val="19"/>
                <w:szCs w:val="19"/>
              </w:rPr>
            </w:pPr>
            <w:r w:rsidRPr="002F4A22">
              <w:rPr>
                <w:sz w:val="19"/>
                <w:szCs w:val="19"/>
              </w:rPr>
              <w:t>$3,</w:t>
            </w:r>
            <w:r w:rsidR="0E3C5CCB" w:rsidRPr="002F4A22">
              <w:rPr>
                <w:sz w:val="19"/>
                <w:szCs w:val="19"/>
              </w:rPr>
              <w:t>144,833</w:t>
            </w:r>
            <w:r w:rsidR="00295915" w:rsidRPr="002F4A22">
              <w:rPr>
                <w:sz w:val="19"/>
                <w:szCs w:val="19"/>
              </w:rPr>
              <w:t>.37</w:t>
            </w:r>
            <w:r w:rsidRPr="002F4A22">
              <w:rPr>
                <w:sz w:val="19"/>
                <w:szCs w:val="19"/>
              </w:rPr>
              <w:t xml:space="preserve"> </w:t>
            </w:r>
          </w:p>
          <w:p w14:paraId="158F4EA0" w14:textId="793E303C" w:rsidR="007E5BF0" w:rsidRPr="002F4A22" w:rsidRDefault="007E5BF0" w:rsidP="00A01D23">
            <w:pPr>
              <w:widowControl w:val="0"/>
              <w:rPr>
                <w:sz w:val="19"/>
                <w:szCs w:val="19"/>
              </w:rPr>
            </w:pPr>
          </w:p>
        </w:tc>
        <w:tc>
          <w:tcPr>
            <w:tcW w:w="990" w:type="dxa"/>
            <w:vAlign w:val="center"/>
          </w:tcPr>
          <w:p w14:paraId="35C81031" w14:textId="77777777" w:rsidR="007E5BF0" w:rsidRPr="002F4A22" w:rsidRDefault="007E5BF0" w:rsidP="0044257C">
            <w:pPr>
              <w:widowControl w:val="0"/>
              <w:jc w:val="right"/>
              <w:rPr>
                <w:bCs/>
                <w:sz w:val="19"/>
                <w:szCs w:val="19"/>
              </w:rPr>
            </w:pPr>
            <w:r w:rsidRPr="002F4A22">
              <w:rPr>
                <w:bCs/>
                <w:sz w:val="19"/>
                <w:szCs w:val="19"/>
              </w:rPr>
              <w:t>$0</w:t>
            </w:r>
          </w:p>
        </w:tc>
        <w:tc>
          <w:tcPr>
            <w:tcW w:w="1080" w:type="dxa"/>
            <w:vAlign w:val="center"/>
          </w:tcPr>
          <w:p w14:paraId="4CBA6B64" w14:textId="371827D6" w:rsidR="007E5BF0" w:rsidRPr="002F4A22" w:rsidRDefault="007E5BF0">
            <w:pPr>
              <w:widowControl w:val="0"/>
              <w:jc w:val="right"/>
              <w:rPr>
                <w:rFonts w:ascii="Calibri" w:eastAsia="Calibri" w:hAnsi="Calibri" w:cs="Calibri"/>
                <w:sz w:val="19"/>
                <w:szCs w:val="19"/>
              </w:rPr>
            </w:pPr>
          </w:p>
          <w:p w14:paraId="5721E6E4" w14:textId="617276A1" w:rsidR="007E5BF0" w:rsidRPr="002F4A22" w:rsidRDefault="12A21A3C" w:rsidP="331F13D3">
            <w:pPr>
              <w:widowControl w:val="0"/>
              <w:jc w:val="right"/>
              <w:rPr>
                <w:rFonts w:ascii="Calibri" w:eastAsia="Calibri" w:hAnsi="Calibri" w:cs="Calibri"/>
                <w:sz w:val="19"/>
                <w:szCs w:val="19"/>
              </w:rPr>
            </w:pPr>
            <w:r w:rsidRPr="002F4A22">
              <w:rPr>
                <w:sz w:val="19"/>
                <w:szCs w:val="19"/>
              </w:rPr>
              <w:t>$0</w:t>
            </w:r>
          </w:p>
        </w:tc>
        <w:tc>
          <w:tcPr>
            <w:tcW w:w="1350" w:type="dxa"/>
            <w:vAlign w:val="center"/>
          </w:tcPr>
          <w:p w14:paraId="4AA3906B" w14:textId="3E80C00C" w:rsidR="007E5BF0" w:rsidRPr="002F4A22" w:rsidRDefault="5024A625" w:rsidP="30C7FF53">
            <w:pPr>
              <w:widowControl w:val="0"/>
              <w:jc w:val="right"/>
              <w:rPr>
                <w:sz w:val="19"/>
                <w:szCs w:val="19"/>
              </w:rPr>
            </w:pPr>
            <w:r w:rsidRPr="002F4A22">
              <w:rPr>
                <w:sz w:val="19"/>
                <w:szCs w:val="19"/>
              </w:rPr>
              <w:t>$</w:t>
            </w:r>
            <w:r w:rsidR="0DF276C2" w:rsidRPr="002F4A22">
              <w:rPr>
                <w:sz w:val="19"/>
                <w:szCs w:val="19"/>
              </w:rPr>
              <w:t>3,144,833</w:t>
            </w:r>
            <w:r w:rsidR="00295915" w:rsidRPr="002F4A22">
              <w:rPr>
                <w:sz w:val="19"/>
                <w:szCs w:val="19"/>
              </w:rPr>
              <w:t>.37</w:t>
            </w:r>
            <w:r w:rsidRPr="002F4A22">
              <w:rPr>
                <w:sz w:val="19"/>
                <w:szCs w:val="19"/>
              </w:rPr>
              <w:t xml:space="preserve"> </w:t>
            </w:r>
          </w:p>
        </w:tc>
        <w:tc>
          <w:tcPr>
            <w:tcW w:w="1350" w:type="dxa"/>
            <w:vAlign w:val="center"/>
          </w:tcPr>
          <w:p w14:paraId="7FE83FAB" w14:textId="05FBB1F4" w:rsidR="007E5BF0" w:rsidRPr="002F4A22" w:rsidRDefault="5D83A38F" w:rsidP="1376ECC8">
            <w:pPr>
              <w:widowControl w:val="0"/>
              <w:jc w:val="right"/>
              <w:rPr>
                <w:sz w:val="19"/>
                <w:szCs w:val="19"/>
              </w:rPr>
            </w:pPr>
            <w:r w:rsidRPr="002F4A22">
              <w:rPr>
                <w:sz w:val="19"/>
                <w:szCs w:val="19"/>
              </w:rPr>
              <w:t>$3,</w:t>
            </w:r>
            <w:r w:rsidR="3DB2FA51" w:rsidRPr="002F4A22">
              <w:rPr>
                <w:sz w:val="19"/>
                <w:szCs w:val="19"/>
              </w:rPr>
              <w:t>144,833</w:t>
            </w:r>
            <w:r w:rsidR="00295915" w:rsidRPr="002F4A22">
              <w:rPr>
                <w:sz w:val="19"/>
                <w:szCs w:val="19"/>
              </w:rPr>
              <w:t>.37</w:t>
            </w:r>
          </w:p>
        </w:tc>
        <w:tc>
          <w:tcPr>
            <w:tcW w:w="1345" w:type="dxa"/>
            <w:vAlign w:val="center"/>
          </w:tcPr>
          <w:p w14:paraId="0BDF8B6B" w14:textId="77777777" w:rsidR="007E5BF0" w:rsidRPr="00882DB5" w:rsidRDefault="007E5BF0" w:rsidP="0044257C">
            <w:pPr>
              <w:widowControl w:val="0"/>
              <w:rPr>
                <w:bCs/>
                <w:sz w:val="19"/>
                <w:szCs w:val="19"/>
              </w:rPr>
            </w:pPr>
            <w:r w:rsidRPr="00882DB5">
              <w:rPr>
                <w:bCs/>
                <w:sz w:val="19"/>
                <w:szCs w:val="19"/>
              </w:rPr>
              <w:t>State allocation</w:t>
            </w:r>
          </w:p>
        </w:tc>
      </w:tr>
      <w:tr w:rsidR="007E5BF0" w:rsidRPr="00F83852" w14:paraId="6AAC1683" w14:textId="77777777" w:rsidTr="006D0280">
        <w:trPr>
          <w:cantSplit/>
          <w:trHeight w:val="300"/>
        </w:trPr>
        <w:tc>
          <w:tcPr>
            <w:tcW w:w="985" w:type="dxa"/>
            <w:vMerge/>
          </w:tcPr>
          <w:p w14:paraId="4BEB7C1B" w14:textId="77777777" w:rsidR="007E5BF0" w:rsidRPr="00F03E95" w:rsidRDefault="007E5BF0" w:rsidP="0044257C">
            <w:pPr>
              <w:widowControl w:val="0"/>
              <w:jc w:val="center"/>
              <w:rPr>
                <w:bCs/>
                <w:sz w:val="20"/>
                <w:szCs w:val="20"/>
              </w:rPr>
            </w:pPr>
          </w:p>
        </w:tc>
        <w:tc>
          <w:tcPr>
            <w:tcW w:w="8365" w:type="dxa"/>
            <w:gridSpan w:val="7"/>
          </w:tcPr>
          <w:p w14:paraId="2404E403" w14:textId="1D50DCDF" w:rsidR="007E5BF0" w:rsidRPr="00882DB5" w:rsidRDefault="007E5BF0" w:rsidP="54FDEEE5">
            <w:pPr>
              <w:widowControl w:val="0"/>
              <w:rPr>
                <w:sz w:val="19"/>
                <w:szCs w:val="19"/>
              </w:rPr>
            </w:pPr>
            <w:r w:rsidRPr="54FDEEE5">
              <w:rPr>
                <w:b/>
                <w:bCs/>
                <w:sz w:val="19"/>
                <w:szCs w:val="19"/>
              </w:rPr>
              <w:t>Uses of Funds:</w:t>
            </w:r>
            <w:r w:rsidRPr="54FDEEE5">
              <w:rPr>
                <w:sz w:val="19"/>
                <w:szCs w:val="19"/>
              </w:rPr>
              <w:t xml:space="preserve"> Acquisition, Administration, Multifamily New Construction, and Multifamily Rehabilitation. </w:t>
            </w:r>
          </w:p>
        </w:tc>
      </w:tr>
      <w:bookmarkEnd w:id="43"/>
    </w:tbl>
    <w:p w14:paraId="235E3311" w14:textId="77777777" w:rsidR="007E5BF0" w:rsidRPr="00E67FA1" w:rsidRDefault="007E5BF0" w:rsidP="007E5BF0"/>
    <w:p w14:paraId="6FD9D170" w14:textId="77777777" w:rsidR="007E5BF0" w:rsidRDefault="007E5BF0" w:rsidP="007E5BF0">
      <w:pPr>
        <w:pStyle w:val="Heading3"/>
      </w:pPr>
      <w:r w:rsidRPr="00215E5E">
        <w:t xml:space="preserve">Explain how </w:t>
      </w:r>
      <w:r w:rsidRPr="00E24CD3">
        <w:t>federal</w:t>
      </w:r>
      <w:r w:rsidRPr="00215E5E">
        <w:t xml:space="preserve"> funds will leverage those additional resources (private, state and local funds), including a description of how matching requirements will be satisfied</w:t>
      </w:r>
    </w:p>
    <w:p w14:paraId="1244B3B8" w14:textId="51E064E5" w:rsidR="007E5BF0" w:rsidRDefault="007E5BF0" w:rsidP="007E5BF0">
      <w:r>
        <w:t xml:space="preserve">The State of Montana will accomplish the goals of the 2020-2024 Consolidated Plan during Plan Year </w:t>
      </w:r>
      <w:r w:rsidR="00BA3D37">
        <w:t xml:space="preserve">5 </w:t>
      </w:r>
      <w:r>
        <w:t xml:space="preserve">by effectively maximizing and utilizing all available funding resources to conduct housing and community development activities that will serve economically disadvantaged residents primarily residing in the non-entitlement areas of the state. </w:t>
      </w:r>
    </w:p>
    <w:p w14:paraId="70AF6166" w14:textId="77777777" w:rsidR="007E5BF0" w:rsidRDefault="007E5BF0" w:rsidP="007E5BF0"/>
    <w:p w14:paraId="133871CE" w14:textId="6E442DCB" w:rsidR="007E5BF0" w:rsidRDefault="007E5BF0" w:rsidP="007E5BF0">
      <w:r>
        <w:t xml:space="preserve">The CDBG Program requires </w:t>
      </w:r>
      <w:proofErr w:type="gramStart"/>
      <w:r>
        <w:t>50</w:t>
      </w:r>
      <w:proofErr w:type="gramEnd"/>
      <w:r>
        <w:t>% match for Economic Development projects. This match can come from a variety of sources, including cash investment, bank loans, state or federal loan programs, or grants. Most CDBG-ED grants are at least partially matched with funds from the state, private bank loans, or owner equity.</w:t>
      </w:r>
    </w:p>
    <w:p w14:paraId="7772A71A" w14:textId="77777777" w:rsidR="007E5BF0" w:rsidRDefault="007E5BF0" w:rsidP="007E5BF0"/>
    <w:p w14:paraId="0481844A" w14:textId="1978F035" w:rsidR="007E5BF0" w:rsidRDefault="007E5BF0" w:rsidP="007E5BF0">
      <w:r>
        <w:t xml:space="preserve">The CDBG Program requires </w:t>
      </w:r>
      <w:proofErr w:type="gramStart"/>
      <w:r>
        <w:t>25</w:t>
      </w:r>
      <w:proofErr w:type="gramEnd"/>
      <w:r>
        <w:t xml:space="preserve">% match for Public </w:t>
      </w:r>
      <w:r w:rsidR="1DBC6F92">
        <w:t xml:space="preserve">and Community </w:t>
      </w:r>
      <w:r>
        <w:t xml:space="preserve">Facilities projects. This match is usually provided either by a direct cash contribution or by incurring a loan or issuing bonds to be repaid through user charges or property tax assessments. Other local match sources include loan or grant funds from other competitive state grant programs, funds expended for predevelopment planning, the recently appraised value of land or materials provided by the applicant, and the value of labor performed by the applicant’s employees. The 25% match requirement may be waived if the local government demonstrates financial hardship. The State of Montana provides </w:t>
      </w:r>
      <w:proofErr w:type="gramStart"/>
      <w:r>
        <w:t>state</w:t>
      </w:r>
      <w:proofErr w:type="gramEnd"/>
      <w:r>
        <w:t xml:space="preserve"> general fund match for the administration of the CDBG Program.</w:t>
      </w:r>
    </w:p>
    <w:p w14:paraId="149C1385" w14:textId="3CE810E3" w:rsidR="6BAB5C2E" w:rsidRDefault="6BAB5C2E" w:rsidP="6BAB5C2E"/>
    <w:p w14:paraId="35C60818" w14:textId="59B5607E" w:rsidR="00FE2EF8" w:rsidRDefault="00FE2EF8" w:rsidP="007E5BF0">
      <w:r>
        <w:t xml:space="preserve">The CDBG Program requires a 25% match for </w:t>
      </w:r>
      <w:r w:rsidR="00110064">
        <w:t>Planning projects. Funds requested for economic development activities on behalf of a private entity</w:t>
      </w:r>
      <w:r w:rsidR="002F2617">
        <w:t xml:space="preserve"> for site-specific projects require a 100% match. </w:t>
      </w:r>
      <w:r w:rsidR="00BA0F64">
        <w:t xml:space="preserve">At least one-third of the required match funds must be from local sources, not state or federal funds. </w:t>
      </w:r>
    </w:p>
    <w:p w14:paraId="08C4DE45" w14:textId="77777777" w:rsidR="00D1589B" w:rsidRDefault="00D1589B" w:rsidP="007E5BF0"/>
    <w:p w14:paraId="62E1AD90" w14:textId="77777777" w:rsidR="00D1589B" w:rsidRDefault="00D1589B" w:rsidP="00D1589B">
      <w:r>
        <w:t>No match is required for CDBG Affordable Housing Development and Rehabilitation or Housing Stabilization Program grants, but the applicants’ ability to leverage other private, local, state, or federal funds is considered when ranking a proposed project for CDBG housing grant funding.</w:t>
      </w:r>
    </w:p>
    <w:p w14:paraId="77BCB776" w14:textId="77777777" w:rsidR="007E5BF0" w:rsidRDefault="007E5BF0" w:rsidP="007E5BF0"/>
    <w:p w14:paraId="1DD72CFE" w14:textId="2746C45A" w:rsidR="007E5BF0" w:rsidRDefault="51136AD8" w:rsidP="007E5BF0">
      <w:r>
        <w:t xml:space="preserve">The HOME Program requires </w:t>
      </w:r>
      <w:r w:rsidRPr="00170457">
        <w:t>5</w:t>
      </w:r>
      <w:r>
        <w:t>% match funding for projects</w:t>
      </w:r>
      <w:r w:rsidR="00084308">
        <w:rPr>
          <w:rStyle w:val="FootnoteReference"/>
        </w:rPr>
        <w:footnoteReference w:id="2"/>
      </w:r>
      <w:r w:rsidR="419AA049" w:rsidRPr="16663A5A">
        <w:rPr>
          <w:rStyle w:val="FootnoteReference"/>
        </w:rPr>
        <w:t xml:space="preserve">. </w:t>
      </w:r>
      <w:r>
        <w:t>Local match sources include</w:t>
      </w:r>
      <w:r w:rsidR="435591C8">
        <w:t>, but are not limited to,</w:t>
      </w:r>
      <w:r>
        <w:t xml:space="preserve"> local costs of infrastructure installation to serve HOME-assisted units, proceeds from bond financing, private grants, deferred or waived state or local taxes or fees, cash, and the value of donated land. Funds will also be leveraged with resources from CHDOs, which may be funded with HOME funds through the CHDO set-aside. Awards for CHDO activities will be given preference over non-CHDO </w:t>
      </w:r>
      <w:r>
        <w:lastRenderedPageBreak/>
        <w:t xml:space="preserve">activities and the HOME Program may not award any project activities until at least 15% of HOME Program funds have been allocated to meet the HUD CHDO set-aside requirement. </w:t>
      </w:r>
    </w:p>
    <w:p w14:paraId="62E5E151" w14:textId="77777777" w:rsidR="007E5BF0" w:rsidRDefault="007E5BF0" w:rsidP="007E5BF0"/>
    <w:p w14:paraId="2801C07C" w14:textId="65FD8F7A" w:rsidR="007E5BF0" w:rsidRDefault="007E5BF0" w:rsidP="007E5BF0">
      <w:r>
        <w:t xml:space="preserve">ESG funds are matched by subrecipients who provide rental assistance, transitional housing and/or supportive services through </w:t>
      </w:r>
      <w:r w:rsidR="0FA6927F">
        <w:t xml:space="preserve">collaboration with </w:t>
      </w:r>
      <w:r>
        <w:t xml:space="preserve">the </w:t>
      </w:r>
      <w:proofErr w:type="spellStart"/>
      <w:r>
        <w:t>MTCoC</w:t>
      </w:r>
      <w:proofErr w:type="spellEnd"/>
      <w:r>
        <w:t xml:space="preserve">. </w:t>
      </w:r>
      <w:r w:rsidR="3F5A8087">
        <w:t>L</w:t>
      </w:r>
      <w:r>
        <w:t>ocal ESG subrecipients contribute additional resources such as block grant funds, local public funds, and local philanthropic foundation resources to the homeless programs they operate. ESG grant funds are required to be matched 100% after the first $100,000 of the fiscal year grant. The state recipient must transfer the benefit of this exception to its subrecipients that are least capable of providing the recipient with matching contributions. See 24 CFR § 576.201 (matching requirement) for further details.</w:t>
      </w:r>
    </w:p>
    <w:p w14:paraId="3F84FFC2" w14:textId="3D1D46F5" w:rsidR="007E5BF0" w:rsidRDefault="007E5BF0" w:rsidP="30C7FF53"/>
    <w:p w14:paraId="6C548FD6" w14:textId="77777777" w:rsidR="007E5BF0" w:rsidRDefault="007E5BF0" w:rsidP="007E5BF0">
      <w:r>
        <w:t>No match is required under the HTF Program, which provides a much-needed source of leveraging for other funding programs aimed at the preservation and expansion of rental housing stock in Montana.</w:t>
      </w:r>
    </w:p>
    <w:p w14:paraId="031F0732" w14:textId="77777777" w:rsidR="007E5BF0" w:rsidRDefault="007E5BF0" w:rsidP="007E5BF0"/>
    <w:p w14:paraId="5863C5C8" w14:textId="77777777" w:rsidR="007E5BF0" w:rsidRDefault="007E5BF0" w:rsidP="007E5BF0">
      <w:pPr>
        <w:pStyle w:val="Heading3"/>
      </w:pPr>
      <w:r>
        <w:t>If appropriate, describe publicly owned land or property located within the jurisdiction that may be used to address the needs identified in the plan</w:t>
      </w:r>
    </w:p>
    <w:p w14:paraId="06A7617A" w14:textId="3817838D" w:rsidR="007E5BF0" w:rsidRDefault="1664CBFB" w:rsidP="007E5BF0">
      <w:r>
        <w:t xml:space="preserve">The State of Montana does not anticipate that any publicly owned land or property will be used to address the needs identified in </w:t>
      </w:r>
      <w:r w:rsidR="266B1663">
        <w:t xml:space="preserve">the </w:t>
      </w:r>
      <w:r w:rsidR="00BA3D37">
        <w:t>2024-2025</w:t>
      </w:r>
      <w:r w:rsidR="266B1663">
        <w:t xml:space="preserve"> </w:t>
      </w:r>
      <w:r>
        <w:t xml:space="preserve">AAP. Most state-owned land is either maintained as state recreational land or managed </w:t>
      </w:r>
      <w:proofErr w:type="gramStart"/>
      <w:r>
        <w:t>so as to</w:t>
      </w:r>
      <w:proofErr w:type="gramEnd"/>
      <w:r>
        <w:t xml:space="preserve"> obtain the highest financial return possible for the state’s K-12 public school system and other beneficiaries, as mandated by Montana statute. Local entities leveraging CDBG, HOME, or HTF grant funds may use publicly owned land or property to help accomplish a local project on a case-by-case basis, and in most cases, such donations or offers will be considered local match resources.</w:t>
      </w:r>
    </w:p>
    <w:p w14:paraId="7B9CA99B" w14:textId="345BA410" w:rsidR="007E5BF0" w:rsidRDefault="007E5BF0" w:rsidP="6EE14823">
      <w:pPr>
        <w:rPr>
          <w:rFonts w:ascii="Calibri" w:eastAsia="Calibri" w:hAnsi="Calibri" w:cs="Calibri"/>
        </w:rPr>
      </w:pPr>
    </w:p>
    <w:p w14:paraId="11464591" w14:textId="1DFAA65C" w:rsidR="007E5BF0" w:rsidRDefault="3CD2AC54" w:rsidP="6EE14823">
      <w:pPr>
        <w:rPr>
          <w:rFonts w:ascii="Calibri" w:eastAsia="Calibri" w:hAnsi="Calibri" w:cs="Calibri"/>
        </w:rPr>
      </w:pPr>
      <w:r w:rsidRPr="6EE14823">
        <w:rPr>
          <w:rFonts w:ascii="Calibri" w:eastAsia="Calibri" w:hAnsi="Calibri" w:cs="Calibri"/>
        </w:rPr>
        <w:t>On June 14, 2023, Governor Gianforte signed House Bill 819</w:t>
      </w:r>
      <w:r w:rsidR="423B9330" w:rsidRPr="6EE14823">
        <w:rPr>
          <w:rFonts w:ascii="Calibri" w:eastAsia="Calibri" w:hAnsi="Calibri" w:cs="Calibri"/>
        </w:rPr>
        <w:t>, titled</w:t>
      </w:r>
      <w:r w:rsidRPr="6EE14823">
        <w:rPr>
          <w:rFonts w:ascii="Calibri" w:eastAsia="Calibri" w:hAnsi="Calibri" w:cs="Calibri"/>
        </w:rPr>
        <w:t xml:space="preserve"> “Create </w:t>
      </w:r>
      <w:r w:rsidR="6D0B2858" w:rsidRPr="6EE14823">
        <w:rPr>
          <w:rFonts w:ascii="Calibri" w:eastAsia="Calibri" w:hAnsi="Calibri" w:cs="Calibri"/>
        </w:rPr>
        <w:t xml:space="preserve">Montana </w:t>
      </w:r>
      <w:r w:rsidR="312E5E37" w:rsidRPr="6EE14823">
        <w:rPr>
          <w:rFonts w:ascii="Calibri" w:eastAsia="Calibri" w:hAnsi="Calibri" w:cs="Calibri"/>
        </w:rPr>
        <w:t>c</w:t>
      </w:r>
      <w:r w:rsidR="6D0B2858" w:rsidRPr="6EE14823">
        <w:rPr>
          <w:rFonts w:ascii="Calibri" w:eastAsia="Calibri" w:hAnsi="Calibri" w:cs="Calibri"/>
        </w:rPr>
        <w:t xml:space="preserve">ommunity </w:t>
      </w:r>
      <w:r w:rsidR="6A7EC8D6" w:rsidRPr="6EE14823">
        <w:rPr>
          <w:rFonts w:ascii="Calibri" w:eastAsia="Calibri" w:hAnsi="Calibri" w:cs="Calibri"/>
        </w:rPr>
        <w:t>r</w:t>
      </w:r>
      <w:r w:rsidR="6D0B2858" w:rsidRPr="6EE14823">
        <w:rPr>
          <w:rFonts w:ascii="Calibri" w:eastAsia="Calibri" w:hAnsi="Calibri" w:cs="Calibri"/>
        </w:rPr>
        <w:t xml:space="preserve">einvestment </w:t>
      </w:r>
      <w:r w:rsidR="4ADAE9AD" w:rsidRPr="6EE14823">
        <w:rPr>
          <w:rFonts w:ascii="Calibri" w:eastAsia="Calibri" w:hAnsi="Calibri" w:cs="Calibri"/>
        </w:rPr>
        <w:t>a</w:t>
      </w:r>
      <w:r w:rsidR="6D0B2858" w:rsidRPr="6EE14823">
        <w:rPr>
          <w:rFonts w:ascii="Calibri" w:eastAsia="Calibri" w:hAnsi="Calibri" w:cs="Calibri"/>
        </w:rPr>
        <w:t xml:space="preserve">ct to fund </w:t>
      </w:r>
      <w:r w:rsidR="37CE25BD" w:rsidRPr="6EE14823">
        <w:rPr>
          <w:rFonts w:ascii="Calibri" w:eastAsia="Calibri" w:hAnsi="Calibri" w:cs="Calibri"/>
        </w:rPr>
        <w:t>w</w:t>
      </w:r>
      <w:r w:rsidR="6D0B2858" w:rsidRPr="6EE14823">
        <w:rPr>
          <w:rFonts w:ascii="Calibri" w:eastAsia="Calibri" w:hAnsi="Calibri" w:cs="Calibri"/>
        </w:rPr>
        <w:t xml:space="preserve">orkforce </w:t>
      </w:r>
      <w:r w:rsidR="1B73626B" w:rsidRPr="6EE14823">
        <w:rPr>
          <w:rFonts w:ascii="Calibri" w:eastAsia="Calibri" w:hAnsi="Calibri" w:cs="Calibri"/>
        </w:rPr>
        <w:t>h</w:t>
      </w:r>
      <w:r w:rsidR="6D0B2858" w:rsidRPr="6EE14823">
        <w:rPr>
          <w:rFonts w:ascii="Calibri" w:eastAsia="Calibri" w:hAnsi="Calibri" w:cs="Calibri"/>
        </w:rPr>
        <w:t>ousing”</w:t>
      </w:r>
      <w:r w:rsidR="5800DF13" w:rsidRPr="6EE14823">
        <w:rPr>
          <w:rFonts w:ascii="Calibri" w:eastAsia="Calibri" w:hAnsi="Calibri" w:cs="Calibri"/>
        </w:rPr>
        <w:t xml:space="preserve">. A component of this legislation directs the Department of Natural Resources to assess use of state trust lands for attainable housing. Below is the applicable excerpt from the bill: </w:t>
      </w:r>
      <w:r w:rsidR="6D0B2858" w:rsidRPr="6EE14823">
        <w:rPr>
          <w:rFonts w:ascii="Calibri" w:eastAsia="Calibri" w:hAnsi="Calibri" w:cs="Calibri"/>
        </w:rPr>
        <w:t xml:space="preserve"> </w:t>
      </w:r>
    </w:p>
    <w:p w14:paraId="3E3CE4A3" w14:textId="05299817" w:rsidR="007E5BF0" w:rsidRDefault="3CD2AC54" w:rsidP="0023706D">
      <w:pPr>
        <w:ind w:left="720"/>
      </w:pPr>
      <w:r w:rsidRPr="331F13D3">
        <w:rPr>
          <w:rFonts w:ascii="Calibri" w:eastAsia="Calibri" w:hAnsi="Calibri" w:cs="Calibri"/>
        </w:rPr>
        <w:t xml:space="preserve">Where state trust lands are </w:t>
      </w:r>
      <w:proofErr w:type="gramStart"/>
      <w:r w:rsidRPr="331F13D3">
        <w:rPr>
          <w:rFonts w:ascii="Calibri" w:eastAsia="Calibri" w:hAnsi="Calibri" w:cs="Calibri"/>
        </w:rPr>
        <w:t>in close proximity to</w:t>
      </w:r>
      <w:proofErr w:type="gramEnd"/>
      <w:r w:rsidRPr="331F13D3">
        <w:rPr>
          <w:rFonts w:ascii="Calibri" w:eastAsia="Calibri" w:hAnsi="Calibri" w:cs="Calibri"/>
        </w:rPr>
        <w:t xml:space="preserve"> cities, towns, or communities: </w:t>
      </w:r>
    </w:p>
    <w:p w14:paraId="6B968243" w14:textId="791E94C2" w:rsidR="007E5BF0" w:rsidRDefault="3CD2AC54" w:rsidP="0023706D">
      <w:pPr>
        <w:pStyle w:val="ListParagraph"/>
        <w:numPr>
          <w:ilvl w:val="1"/>
          <w:numId w:val="1"/>
        </w:numPr>
        <w:rPr>
          <w:rFonts w:ascii="Calibri" w:eastAsia="Calibri" w:hAnsi="Calibri" w:cs="Calibri"/>
        </w:rPr>
      </w:pPr>
      <w:r w:rsidRPr="331F13D3">
        <w:rPr>
          <w:rFonts w:ascii="Calibri" w:eastAsia="Calibri" w:hAnsi="Calibri" w:cs="Calibri"/>
        </w:rPr>
        <w:t xml:space="preserve">the department of natural resources and conservation shall undertake an evaluation of whether the lands could be made available for use as land for potential development of attainable workforce housing as a part of the Montana community reinvestment plan; and </w:t>
      </w:r>
    </w:p>
    <w:p w14:paraId="5E534B4D" w14:textId="253DBCD5" w:rsidR="007E5BF0" w:rsidRDefault="3CD2AC54" w:rsidP="0023706D">
      <w:pPr>
        <w:pStyle w:val="ListParagraph"/>
        <w:numPr>
          <w:ilvl w:val="1"/>
          <w:numId w:val="1"/>
        </w:numPr>
        <w:rPr>
          <w:rFonts w:ascii="Calibri" w:eastAsia="Calibri" w:hAnsi="Calibri" w:cs="Calibri"/>
        </w:rPr>
      </w:pPr>
      <w:r w:rsidRPr="331F13D3">
        <w:rPr>
          <w:rFonts w:ascii="Calibri" w:eastAsia="Calibri" w:hAnsi="Calibri" w:cs="Calibri"/>
        </w:rPr>
        <w:t>each community reinvestment organization shall consider the use of state lands to support critical public employee services, including attainable workforce housing as part of the Montana community reinvestment plan.</w:t>
      </w:r>
    </w:p>
    <w:p w14:paraId="7A577B90" w14:textId="32B7B256" w:rsidR="331F13D3" w:rsidRDefault="331F13D3" w:rsidP="331F13D3">
      <w:pPr>
        <w:rPr>
          <w:rFonts w:ascii="Calibri" w:eastAsia="Calibri" w:hAnsi="Calibri" w:cs="Calibri"/>
        </w:rPr>
      </w:pPr>
    </w:p>
    <w:p w14:paraId="7473161A" w14:textId="5B710998" w:rsidR="2B804E08" w:rsidRDefault="2B804E08" w:rsidP="6EE14823">
      <w:pPr>
        <w:rPr>
          <w:rFonts w:ascii="Calibri" w:eastAsia="Calibri" w:hAnsi="Calibri" w:cs="Calibri"/>
        </w:rPr>
      </w:pPr>
      <w:r w:rsidRPr="6EE14823">
        <w:rPr>
          <w:rFonts w:ascii="Calibri" w:eastAsia="Calibri" w:hAnsi="Calibri" w:cs="Calibri"/>
        </w:rPr>
        <w:t>This recommendation was included in the Governor’s Housing Task Force report.</w:t>
      </w:r>
    </w:p>
    <w:p w14:paraId="74C2C8BD" w14:textId="0D7E388E" w:rsidR="6EE14823" w:rsidRDefault="6EE14823" w:rsidP="6EE14823">
      <w:pPr>
        <w:rPr>
          <w:rFonts w:ascii="Calibri" w:eastAsia="Calibri" w:hAnsi="Calibri" w:cs="Calibri"/>
        </w:rPr>
      </w:pPr>
    </w:p>
    <w:p w14:paraId="3C7CBBD7" w14:textId="77777777" w:rsidR="007E5BF0" w:rsidRDefault="007E5BF0" w:rsidP="007E5BF0">
      <w:pPr>
        <w:pStyle w:val="Heading3"/>
      </w:pPr>
      <w:r>
        <w:t>Discussion</w:t>
      </w:r>
    </w:p>
    <w:p w14:paraId="183EEC0B" w14:textId="79794A43" w:rsidR="007E5BF0" w:rsidRDefault="00A00FD1" w:rsidP="007E5BF0">
      <w:r>
        <w:t>Not applicable</w:t>
      </w:r>
      <w:r w:rsidR="007E5BF0">
        <w:t xml:space="preserve">. </w:t>
      </w:r>
    </w:p>
    <w:p w14:paraId="40F219AB" w14:textId="77777777" w:rsidR="007E5BF0" w:rsidRPr="004430FB" w:rsidRDefault="007E5BF0" w:rsidP="007E5BF0"/>
    <w:p w14:paraId="0F6FE7C2" w14:textId="77777777" w:rsidR="007E5BF0" w:rsidRDefault="007E5BF0" w:rsidP="003747A4">
      <w:pPr>
        <w:pStyle w:val="Heading2"/>
      </w:pPr>
      <w:bookmarkStart w:id="44" w:name="_Toc70505037"/>
      <w:bookmarkStart w:id="45" w:name="_Toc72413491"/>
      <w:r>
        <w:t>AP-20 Annual Goals and Objectives – 91.320(c)(</w:t>
      </w:r>
      <w:proofErr w:type="gramStart"/>
      <w:r>
        <w:t>3)&amp;</w:t>
      </w:r>
      <w:proofErr w:type="gramEnd"/>
      <w:r>
        <w:t>(e)</w:t>
      </w:r>
      <w:bookmarkEnd w:id="44"/>
      <w:bookmarkEnd w:id="45"/>
    </w:p>
    <w:p w14:paraId="531ABA51" w14:textId="77777777" w:rsidR="007E5BF0" w:rsidRDefault="007E5BF0" w:rsidP="007E5BF0">
      <w:pPr>
        <w:pStyle w:val="Heading3"/>
      </w:pPr>
      <w:r>
        <w:t>Goals Summary Information</w:t>
      </w:r>
    </w:p>
    <w:p w14:paraId="436AA226" w14:textId="2FD39CF4" w:rsidR="007E5BF0" w:rsidRDefault="007E5BF0" w:rsidP="007E5BF0">
      <w:r w:rsidRPr="00E552B5">
        <w:rPr>
          <w:b/>
          <w:bCs/>
        </w:rPr>
        <w:t xml:space="preserve">Table </w:t>
      </w:r>
      <w:r w:rsidR="003E73B9">
        <w:rPr>
          <w:b/>
          <w:bCs/>
        </w:rPr>
        <w:t>6</w:t>
      </w:r>
      <w:r>
        <w:t xml:space="preserve"> presents Montana’s goals for Plan Year </w:t>
      </w:r>
      <w:r w:rsidR="00BA3D37">
        <w:t xml:space="preserve">5 </w:t>
      </w:r>
      <w:r>
        <w:t xml:space="preserve">of the 5-year Consolidated Plan period (2020-2024). </w:t>
      </w:r>
    </w:p>
    <w:p w14:paraId="6CDB54C8" w14:textId="77777777" w:rsidR="007E5BF0" w:rsidRDefault="007E5BF0" w:rsidP="007E5BF0">
      <w:pPr>
        <w:spacing w:after="160" w:line="259" w:lineRule="auto"/>
        <w:rPr>
          <w:b/>
          <w:bCs/>
        </w:rPr>
      </w:pPr>
      <w:bookmarkStart w:id="46" w:name="_Toc56449316"/>
      <w:bookmarkStart w:id="47" w:name="_Toc61552608"/>
      <w:r>
        <w:br w:type="page"/>
      </w:r>
    </w:p>
    <w:p w14:paraId="355079B6" w14:textId="6FDD384A" w:rsidR="007E5BF0" w:rsidRDefault="007E5BF0" w:rsidP="007E5BF0">
      <w:pPr>
        <w:pStyle w:val="TableCaption"/>
      </w:pPr>
      <w:bookmarkStart w:id="48" w:name="_Toc70505195"/>
      <w:bookmarkStart w:id="49" w:name="_Toc73081443"/>
      <w:r>
        <w:lastRenderedPageBreak/>
        <w:t xml:space="preserve">Table </w:t>
      </w:r>
      <w:r w:rsidR="003E73B9">
        <w:t>6</w:t>
      </w:r>
      <w:r>
        <w:t xml:space="preserve"> – Goals Summary</w:t>
      </w:r>
      <w:bookmarkEnd w:id="46"/>
      <w:bookmarkEnd w:id="47"/>
      <w:bookmarkEnd w:id="48"/>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Caption w:val="Goals Summary (Table 6)"/>
        <w:tblDescription w:val="This table summarizes goals for the Plan Year."/>
      </w:tblPr>
      <w:tblGrid>
        <w:gridCol w:w="309"/>
        <w:gridCol w:w="1273"/>
        <w:gridCol w:w="858"/>
        <w:gridCol w:w="1206"/>
        <w:gridCol w:w="1055"/>
        <w:gridCol w:w="1255"/>
        <w:gridCol w:w="1058"/>
        <w:gridCol w:w="2336"/>
      </w:tblGrid>
      <w:tr w:rsidR="00840006" w:rsidRPr="001B22D2" w14:paraId="7DB588D5" w14:textId="77777777" w:rsidTr="4BD80007">
        <w:trPr>
          <w:cantSplit/>
          <w:trHeight w:val="486"/>
          <w:tblHeader/>
        </w:trPr>
        <w:tc>
          <w:tcPr>
            <w:tcW w:w="165" w:type="pct"/>
            <w:tcBorders>
              <w:top w:val="single" w:sz="4" w:space="0" w:color="auto"/>
              <w:left w:val="single" w:sz="4" w:space="0" w:color="auto"/>
              <w:bottom w:val="single" w:sz="4" w:space="0" w:color="auto"/>
              <w:right w:val="single" w:sz="4" w:space="0" w:color="auto"/>
            </w:tcBorders>
            <w:shd w:val="clear" w:color="auto" w:fill="C5D4D5"/>
            <w:vAlign w:val="center"/>
            <w:hideMark/>
          </w:tcPr>
          <w:p w14:paraId="6B5A1B19" w14:textId="77777777" w:rsidR="007E5BF0" w:rsidRPr="001B22D2" w:rsidRDefault="007E5BF0" w:rsidP="0044257C">
            <w:pPr>
              <w:widowControl w:val="0"/>
              <w:rPr>
                <w:bCs/>
                <w:sz w:val="17"/>
                <w:szCs w:val="17"/>
              </w:rPr>
            </w:pPr>
            <w:r w:rsidRPr="001B22D2">
              <w:rPr>
                <w:bCs/>
                <w:sz w:val="17"/>
                <w:szCs w:val="17"/>
              </w:rPr>
              <w:t>#</w:t>
            </w:r>
          </w:p>
        </w:tc>
        <w:tc>
          <w:tcPr>
            <w:tcW w:w="681" w:type="pct"/>
            <w:tcBorders>
              <w:top w:val="single" w:sz="4" w:space="0" w:color="auto"/>
              <w:left w:val="single" w:sz="4" w:space="0" w:color="auto"/>
              <w:bottom w:val="single" w:sz="4" w:space="0" w:color="auto"/>
              <w:right w:val="single" w:sz="4" w:space="0" w:color="auto"/>
            </w:tcBorders>
            <w:shd w:val="clear" w:color="auto" w:fill="C5D4D5"/>
            <w:vAlign w:val="center"/>
            <w:hideMark/>
          </w:tcPr>
          <w:p w14:paraId="7ACE8211" w14:textId="77777777" w:rsidR="007E5BF0" w:rsidRPr="001B22D2" w:rsidRDefault="007E5BF0" w:rsidP="0044257C">
            <w:pPr>
              <w:widowControl w:val="0"/>
              <w:jc w:val="center"/>
              <w:rPr>
                <w:bCs/>
                <w:sz w:val="17"/>
                <w:szCs w:val="17"/>
              </w:rPr>
            </w:pPr>
            <w:r w:rsidRPr="001B22D2">
              <w:rPr>
                <w:bCs/>
                <w:sz w:val="17"/>
                <w:szCs w:val="17"/>
              </w:rPr>
              <w:t>Goal Name</w:t>
            </w:r>
          </w:p>
        </w:tc>
        <w:tc>
          <w:tcPr>
            <w:tcW w:w="459" w:type="pct"/>
            <w:tcBorders>
              <w:top w:val="single" w:sz="4" w:space="0" w:color="auto"/>
              <w:left w:val="single" w:sz="4" w:space="0" w:color="auto"/>
              <w:bottom w:val="single" w:sz="4" w:space="0" w:color="auto"/>
              <w:right w:val="single" w:sz="4" w:space="0" w:color="auto"/>
            </w:tcBorders>
            <w:shd w:val="clear" w:color="auto" w:fill="C5D4D5"/>
            <w:vAlign w:val="center"/>
            <w:hideMark/>
          </w:tcPr>
          <w:p w14:paraId="5F60CD45" w14:textId="77777777" w:rsidR="007E5BF0" w:rsidRPr="001B22D2" w:rsidRDefault="007E5BF0" w:rsidP="0044257C">
            <w:pPr>
              <w:widowControl w:val="0"/>
              <w:jc w:val="center"/>
              <w:rPr>
                <w:bCs/>
                <w:sz w:val="17"/>
                <w:szCs w:val="17"/>
              </w:rPr>
            </w:pPr>
            <w:r w:rsidRPr="001B22D2">
              <w:rPr>
                <w:bCs/>
                <w:sz w:val="17"/>
                <w:szCs w:val="17"/>
              </w:rPr>
              <w:t>Year</w:t>
            </w:r>
          </w:p>
        </w:tc>
        <w:tc>
          <w:tcPr>
            <w:tcW w:w="645" w:type="pct"/>
            <w:tcBorders>
              <w:top w:val="single" w:sz="4" w:space="0" w:color="auto"/>
              <w:left w:val="single" w:sz="4" w:space="0" w:color="auto"/>
              <w:bottom w:val="single" w:sz="4" w:space="0" w:color="auto"/>
              <w:right w:val="single" w:sz="4" w:space="0" w:color="auto"/>
            </w:tcBorders>
            <w:shd w:val="clear" w:color="auto" w:fill="C5D4D5"/>
            <w:vAlign w:val="center"/>
            <w:hideMark/>
          </w:tcPr>
          <w:p w14:paraId="1FAFBD17" w14:textId="77777777" w:rsidR="007E5BF0" w:rsidRPr="001B22D2" w:rsidRDefault="007E5BF0" w:rsidP="0044257C">
            <w:pPr>
              <w:widowControl w:val="0"/>
              <w:jc w:val="center"/>
              <w:rPr>
                <w:bCs/>
                <w:sz w:val="17"/>
                <w:szCs w:val="17"/>
              </w:rPr>
            </w:pPr>
            <w:r w:rsidRPr="001B22D2">
              <w:rPr>
                <w:bCs/>
                <w:sz w:val="17"/>
                <w:szCs w:val="17"/>
              </w:rPr>
              <w:t>Category</w:t>
            </w:r>
          </w:p>
        </w:tc>
        <w:tc>
          <w:tcPr>
            <w:tcW w:w="564" w:type="pct"/>
            <w:tcBorders>
              <w:top w:val="single" w:sz="4" w:space="0" w:color="auto"/>
              <w:left w:val="single" w:sz="4" w:space="0" w:color="auto"/>
              <w:bottom w:val="single" w:sz="4" w:space="0" w:color="auto"/>
              <w:right w:val="single" w:sz="4" w:space="0" w:color="auto"/>
            </w:tcBorders>
            <w:shd w:val="clear" w:color="auto" w:fill="C5D4D5"/>
            <w:vAlign w:val="center"/>
            <w:hideMark/>
          </w:tcPr>
          <w:p w14:paraId="33F5D9D9" w14:textId="77777777" w:rsidR="007E5BF0" w:rsidRPr="001B22D2" w:rsidRDefault="007E5BF0" w:rsidP="0044257C">
            <w:pPr>
              <w:widowControl w:val="0"/>
              <w:jc w:val="center"/>
              <w:rPr>
                <w:bCs/>
                <w:sz w:val="17"/>
                <w:szCs w:val="17"/>
              </w:rPr>
            </w:pPr>
            <w:r w:rsidRPr="001B22D2">
              <w:rPr>
                <w:bCs/>
                <w:sz w:val="17"/>
                <w:szCs w:val="17"/>
              </w:rPr>
              <w:t>Geographic Area</w:t>
            </w:r>
          </w:p>
        </w:tc>
        <w:tc>
          <w:tcPr>
            <w:tcW w:w="671" w:type="pct"/>
            <w:tcBorders>
              <w:top w:val="single" w:sz="4" w:space="0" w:color="auto"/>
              <w:left w:val="single" w:sz="4" w:space="0" w:color="auto"/>
              <w:bottom w:val="single" w:sz="4" w:space="0" w:color="auto"/>
              <w:right w:val="single" w:sz="4" w:space="0" w:color="auto"/>
            </w:tcBorders>
            <w:shd w:val="clear" w:color="auto" w:fill="C5D4D5"/>
            <w:vAlign w:val="center"/>
            <w:hideMark/>
          </w:tcPr>
          <w:p w14:paraId="79B32009" w14:textId="77777777" w:rsidR="007E5BF0" w:rsidRPr="001B22D2" w:rsidRDefault="007E5BF0" w:rsidP="0044257C">
            <w:pPr>
              <w:widowControl w:val="0"/>
              <w:jc w:val="center"/>
              <w:rPr>
                <w:bCs/>
                <w:sz w:val="17"/>
                <w:szCs w:val="17"/>
              </w:rPr>
            </w:pPr>
            <w:r w:rsidRPr="001B22D2">
              <w:rPr>
                <w:bCs/>
                <w:sz w:val="17"/>
                <w:szCs w:val="17"/>
              </w:rPr>
              <w:t>Needs Addressed</w:t>
            </w:r>
          </w:p>
        </w:tc>
        <w:tc>
          <w:tcPr>
            <w:tcW w:w="566" w:type="pct"/>
            <w:tcBorders>
              <w:top w:val="single" w:sz="4" w:space="0" w:color="auto"/>
              <w:left w:val="single" w:sz="4" w:space="0" w:color="auto"/>
              <w:bottom w:val="single" w:sz="4" w:space="0" w:color="auto"/>
              <w:right w:val="single" w:sz="4" w:space="0" w:color="auto"/>
            </w:tcBorders>
            <w:shd w:val="clear" w:color="auto" w:fill="C5D4D5"/>
            <w:vAlign w:val="center"/>
            <w:hideMark/>
          </w:tcPr>
          <w:p w14:paraId="67E1010A" w14:textId="522375EE" w:rsidR="007E5BF0" w:rsidRPr="001B22D2" w:rsidRDefault="63E47A26" w:rsidP="77A3D6BC">
            <w:pPr>
              <w:widowControl w:val="0"/>
              <w:jc w:val="center"/>
              <w:rPr>
                <w:sz w:val="17"/>
                <w:szCs w:val="17"/>
              </w:rPr>
            </w:pPr>
            <w:r w:rsidRPr="77A3D6BC">
              <w:rPr>
                <w:sz w:val="17"/>
                <w:szCs w:val="17"/>
              </w:rPr>
              <w:t xml:space="preserve">Estimated </w:t>
            </w:r>
            <w:r w:rsidR="007E5BF0" w:rsidRPr="77A3D6BC">
              <w:rPr>
                <w:sz w:val="17"/>
                <w:szCs w:val="17"/>
              </w:rPr>
              <w:t>Funding</w:t>
            </w:r>
          </w:p>
        </w:tc>
        <w:tc>
          <w:tcPr>
            <w:tcW w:w="1249" w:type="pct"/>
            <w:tcBorders>
              <w:top w:val="single" w:sz="4" w:space="0" w:color="auto"/>
              <w:left w:val="single" w:sz="4" w:space="0" w:color="auto"/>
              <w:bottom w:val="single" w:sz="4" w:space="0" w:color="auto"/>
              <w:right w:val="single" w:sz="4" w:space="0" w:color="auto"/>
            </w:tcBorders>
            <w:shd w:val="clear" w:color="auto" w:fill="C5D4D5"/>
            <w:vAlign w:val="center"/>
            <w:hideMark/>
          </w:tcPr>
          <w:p w14:paraId="3DF1BB91" w14:textId="77777777" w:rsidR="007E5BF0" w:rsidRPr="001B22D2" w:rsidRDefault="007E5BF0" w:rsidP="0044257C">
            <w:pPr>
              <w:widowControl w:val="0"/>
              <w:jc w:val="center"/>
              <w:rPr>
                <w:bCs/>
                <w:sz w:val="17"/>
                <w:szCs w:val="17"/>
              </w:rPr>
            </w:pPr>
            <w:r w:rsidRPr="001B22D2">
              <w:rPr>
                <w:bCs/>
                <w:sz w:val="17"/>
                <w:szCs w:val="17"/>
              </w:rPr>
              <w:t>Goal Outcome Indicator</w:t>
            </w:r>
          </w:p>
        </w:tc>
      </w:tr>
      <w:tr w:rsidR="00E14079" w:rsidRPr="001B22D2" w14:paraId="39AB7A43" w14:textId="77777777" w:rsidTr="4BD80007">
        <w:trPr>
          <w:cantSplit/>
          <w:trHeight w:val="251"/>
        </w:trPr>
        <w:tc>
          <w:tcPr>
            <w:tcW w:w="165" w:type="pct"/>
            <w:vMerge w:val="restart"/>
            <w:tcBorders>
              <w:top w:val="single" w:sz="4" w:space="0" w:color="auto"/>
              <w:left w:val="single" w:sz="4" w:space="0" w:color="auto"/>
              <w:right w:val="single" w:sz="4" w:space="0" w:color="auto"/>
            </w:tcBorders>
            <w:vAlign w:val="center"/>
          </w:tcPr>
          <w:p w14:paraId="384F4772" w14:textId="77777777" w:rsidR="007E5BF0" w:rsidRPr="001B22D2" w:rsidRDefault="007E5BF0" w:rsidP="0044257C">
            <w:pPr>
              <w:widowControl w:val="0"/>
              <w:rPr>
                <w:bCs/>
                <w:sz w:val="17"/>
                <w:szCs w:val="17"/>
              </w:rPr>
            </w:pPr>
            <w:r w:rsidRPr="001B22D2">
              <w:rPr>
                <w:bCs/>
                <w:sz w:val="17"/>
                <w:szCs w:val="17"/>
              </w:rPr>
              <w:t>1</w:t>
            </w:r>
          </w:p>
        </w:tc>
        <w:tc>
          <w:tcPr>
            <w:tcW w:w="681" w:type="pct"/>
            <w:vMerge w:val="restart"/>
            <w:tcBorders>
              <w:top w:val="single" w:sz="4" w:space="0" w:color="auto"/>
              <w:left w:val="single" w:sz="4" w:space="0" w:color="auto"/>
              <w:right w:val="single" w:sz="4" w:space="0" w:color="auto"/>
            </w:tcBorders>
            <w:vAlign w:val="center"/>
          </w:tcPr>
          <w:p w14:paraId="5474A1D3" w14:textId="77777777" w:rsidR="007E5BF0" w:rsidRPr="001B22D2" w:rsidRDefault="007E5BF0" w:rsidP="0044257C">
            <w:pPr>
              <w:widowControl w:val="0"/>
              <w:rPr>
                <w:b/>
                <w:sz w:val="17"/>
                <w:szCs w:val="17"/>
              </w:rPr>
            </w:pPr>
            <w:r w:rsidRPr="001B22D2">
              <w:rPr>
                <w:b/>
                <w:sz w:val="17"/>
                <w:szCs w:val="17"/>
              </w:rPr>
              <w:t>Preserve and Construct Affordable Housing</w:t>
            </w:r>
          </w:p>
        </w:tc>
        <w:tc>
          <w:tcPr>
            <w:tcW w:w="459" w:type="pct"/>
            <w:tcBorders>
              <w:top w:val="single" w:sz="4" w:space="0" w:color="auto"/>
              <w:left w:val="single" w:sz="4" w:space="0" w:color="auto"/>
              <w:bottom w:val="single" w:sz="4" w:space="0" w:color="auto"/>
              <w:right w:val="single" w:sz="4" w:space="0" w:color="auto"/>
            </w:tcBorders>
            <w:vAlign w:val="center"/>
          </w:tcPr>
          <w:p w14:paraId="19710B73" w14:textId="64391AD3" w:rsidR="007E5BF0" w:rsidRPr="001B22D2" w:rsidRDefault="007E5BF0" w:rsidP="0044257C">
            <w:pPr>
              <w:widowControl w:val="0"/>
              <w:jc w:val="center"/>
              <w:rPr>
                <w:bCs/>
                <w:sz w:val="17"/>
                <w:szCs w:val="17"/>
              </w:rPr>
            </w:pPr>
            <w:r w:rsidRPr="001B22D2">
              <w:rPr>
                <w:bCs/>
                <w:sz w:val="17"/>
                <w:szCs w:val="17"/>
              </w:rPr>
              <w:t>202</w:t>
            </w:r>
            <w:r w:rsidR="00BA3D37">
              <w:rPr>
                <w:bCs/>
                <w:sz w:val="17"/>
                <w:szCs w:val="17"/>
              </w:rPr>
              <w:t>4</w:t>
            </w:r>
          </w:p>
          <w:p w14:paraId="20D0EE8E" w14:textId="77777777" w:rsidR="007E5BF0" w:rsidRPr="001B22D2" w:rsidRDefault="007E5BF0" w:rsidP="0044257C">
            <w:pPr>
              <w:widowControl w:val="0"/>
              <w:jc w:val="center"/>
              <w:rPr>
                <w:bCs/>
                <w:sz w:val="17"/>
                <w:szCs w:val="17"/>
              </w:rPr>
            </w:pPr>
            <w:r w:rsidRPr="001B22D2">
              <w:rPr>
                <w:bCs/>
                <w:sz w:val="17"/>
                <w:szCs w:val="17"/>
              </w:rPr>
              <w:t>(Apr 1)</w:t>
            </w:r>
          </w:p>
          <w:p w14:paraId="0A5C84C5" w14:textId="77777777" w:rsidR="007E5BF0" w:rsidRPr="001B22D2" w:rsidRDefault="007E5BF0" w:rsidP="0044257C">
            <w:pPr>
              <w:widowControl w:val="0"/>
              <w:jc w:val="center"/>
              <w:rPr>
                <w:bCs/>
                <w:sz w:val="17"/>
                <w:szCs w:val="17"/>
              </w:rPr>
            </w:pPr>
            <w:r w:rsidRPr="001B22D2">
              <w:rPr>
                <w:bCs/>
                <w:sz w:val="17"/>
                <w:szCs w:val="17"/>
              </w:rPr>
              <w:t xml:space="preserve">to </w:t>
            </w:r>
          </w:p>
          <w:p w14:paraId="1A5E4279" w14:textId="54F9001B" w:rsidR="007E5BF0" w:rsidRPr="001B22D2" w:rsidRDefault="007E5BF0" w:rsidP="0044257C">
            <w:pPr>
              <w:widowControl w:val="0"/>
              <w:jc w:val="center"/>
              <w:rPr>
                <w:bCs/>
                <w:sz w:val="17"/>
                <w:szCs w:val="17"/>
              </w:rPr>
            </w:pPr>
            <w:r w:rsidRPr="001B22D2">
              <w:rPr>
                <w:bCs/>
                <w:sz w:val="17"/>
                <w:szCs w:val="17"/>
              </w:rPr>
              <w:t>202</w:t>
            </w:r>
            <w:r w:rsidR="00BA3D37">
              <w:rPr>
                <w:bCs/>
                <w:sz w:val="17"/>
                <w:szCs w:val="17"/>
              </w:rPr>
              <w:t>5</w:t>
            </w:r>
          </w:p>
          <w:p w14:paraId="2D28EBAF" w14:textId="77777777" w:rsidR="007E5BF0" w:rsidRPr="001B22D2" w:rsidRDefault="007E5BF0" w:rsidP="0044257C">
            <w:pPr>
              <w:widowControl w:val="0"/>
              <w:jc w:val="center"/>
              <w:rPr>
                <w:bCs/>
                <w:sz w:val="17"/>
                <w:szCs w:val="17"/>
              </w:rPr>
            </w:pPr>
            <w:r w:rsidRPr="001B22D2">
              <w:rPr>
                <w:bCs/>
                <w:sz w:val="17"/>
                <w:szCs w:val="17"/>
              </w:rPr>
              <w:t>(Mar 31)</w:t>
            </w:r>
          </w:p>
        </w:tc>
        <w:tc>
          <w:tcPr>
            <w:tcW w:w="645" w:type="pct"/>
            <w:tcBorders>
              <w:top w:val="single" w:sz="4" w:space="0" w:color="auto"/>
              <w:left w:val="single" w:sz="4" w:space="0" w:color="auto"/>
              <w:bottom w:val="single" w:sz="4" w:space="0" w:color="auto"/>
              <w:right w:val="single" w:sz="4" w:space="0" w:color="auto"/>
            </w:tcBorders>
            <w:vAlign w:val="center"/>
          </w:tcPr>
          <w:p w14:paraId="15E6563E" w14:textId="77777777" w:rsidR="007E5BF0" w:rsidRPr="001B22D2" w:rsidRDefault="007E5BF0" w:rsidP="0044257C">
            <w:pPr>
              <w:widowControl w:val="0"/>
              <w:jc w:val="center"/>
              <w:rPr>
                <w:bCs/>
                <w:sz w:val="17"/>
                <w:szCs w:val="17"/>
              </w:rPr>
            </w:pPr>
            <w:r w:rsidRPr="001B22D2">
              <w:rPr>
                <w:bCs/>
                <w:sz w:val="17"/>
                <w:szCs w:val="17"/>
              </w:rPr>
              <w:t>Affordable Housing</w:t>
            </w:r>
          </w:p>
        </w:tc>
        <w:tc>
          <w:tcPr>
            <w:tcW w:w="564" w:type="pct"/>
            <w:tcBorders>
              <w:top w:val="single" w:sz="4" w:space="0" w:color="auto"/>
              <w:left w:val="single" w:sz="4" w:space="0" w:color="auto"/>
              <w:bottom w:val="single" w:sz="4" w:space="0" w:color="auto"/>
              <w:right w:val="single" w:sz="4" w:space="0" w:color="auto"/>
            </w:tcBorders>
            <w:vAlign w:val="center"/>
          </w:tcPr>
          <w:p w14:paraId="40874ECE" w14:textId="77777777" w:rsidR="007E5BF0" w:rsidRPr="001B22D2" w:rsidRDefault="007E5BF0" w:rsidP="0044257C">
            <w:pPr>
              <w:widowControl w:val="0"/>
              <w:jc w:val="center"/>
              <w:rPr>
                <w:bCs/>
                <w:sz w:val="17"/>
                <w:szCs w:val="17"/>
              </w:rPr>
            </w:pPr>
            <w:r w:rsidRPr="001B22D2">
              <w:rPr>
                <w:bCs/>
                <w:sz w:val="17"/>
                <w:szCs w:val="17"/>
              </w:rPr>
              <w:t>Statewide</w:t>
            </w:r>
          </w:p>
        </w:tc>
        <w:tc>
          <w:tcPr>
            <w:tcW w:w="671" w:type="pct"/>
            <w:tcBorders>
              <w:top w:val="single" w:sz="4" w:space="0" w:color="auto"/>
              <w:left w:val="single" w:sz="4" w:space="0" w:color="auto"/>
              <w:bottom w:val="single" w:sz="4" w:space="0" w:color="auto"/>
              <w:right w:val="single" w:sz="4" w:space="0" w:color="auto"/>
            </w:tcBorders>
            <w:vAlign w:val="center"/>
          </w:tcPr>
          <w:p w14:paraId="21E71D37" w14:textId="77777777" w:rsidR="007E5BF0" w:rsidRPr="001B22D2" w:rsidRDefault="007E5BF0" w:rsidP="0044257C">
            <w:pPr>
              <w:widowControl w:val="0"/>
              <w:jc w:val="center"/>
              <w:rPr>
                <w:bCs/>
                <w:sz w:val="17"/>
                <w:szCs w:val="17"/>
              </w:rPr>
            </w:pPr>
            <w:r w:rsidRPr="001B22D2">
              <w:rPr>
                <w:bCs/>
                <w:sz w:val="17"/>
                <w:szCs w:val="17"/>
              </w:rPr>
              <w:t>Affordable Housing Preservation and Construction</w:t>
            </w:r>
          </w:p>
        </w:tc>
        <w:tc>
          <w:tcPr>
            <w:tcW w:w="566" w:type="pct"/>
            <w:tcBorders>
              <w:top w:val="single" w:sz="4" w:space="0" w:color="auto"/>
              <w:left w:val="single" w:sz="4" w:space="0" w:color="auto"/>
              <w:bottom w:val="single" w:sz="4" w:space="0" w:color="auto"/>
              <w:right w:val="single" w:sz="4" w:space="0" w:color="auto"/>
            </w:tcBorders>
            <w:vAlign w:val="center"/>
          </w:tcPr>
          <w:p w14:paraId="23D4B738" w14:textId="7E206B62" w:rsidR="001A569C" w:rsidRDefault="007E5BF0" w:rsidP="0AF95A31">
            <w:pPr>
              <w:widowControl w:val="0"/>
              <w:jc w:val="center"/>
              <w:rPr>
                <w:sz w:val="17"/>
                <w:szCs w:val="17"/>
              </w:rPr>
            </w:pPr>
            <w:r w:rsidRPr="4BD80007">
              <w:rPr>
                <w:sz w:val="17"/>
                <w:szCs w:val="17"/>
              </w:rPr>
              <w:t xml:space="preserve">CDBG: </w:t>
            </w:r>
            <w:r w:rsidR="00DD3F9D">
              <w:rPr>
                <w:sz w:val="17"/>
                <w:szCs w:val="17"/>
              </w:rPr>
              <w:t>$1,150,000</w:t>
            </w:r>
          </w:p>
          <w:p w14:paraId="3A587B6E" w14:textId="3FDCEAE7" w:rsidR="007E5BF0" w:rsidRPr="001B22D2" w:rsidRDefault="007E5BF0" w:rsidP="0044257C">
            <w:pPr>
              <w:widowControl w:val="0"/>
              <w:jc w:val="center"/>
              <w:rPr>
                <w:bCs/>
                <w:sz w:val="17"/>
                <w:szCs w:val="17"/>
              </w:rPr>
            </w:pPr>
          </w:p>
          <w:p w14:paraId="6F840A7E" w14:textId="77777777" w:rsidR="007E5BF0" w:rsidRPr="001B22D2" w:rsidRDefault="007E5BF0" w:rsidP="0044257C">
            <w:pPr>
              <w:widowControl w:val="0"/>
              <w:jc w:val="center"/>
              <w:rPr>
                <w:bCs/>
                <w:sz w:val="17"/>
                <w:szCs w:val="17"/>
              </w:rPr>
            </w:pPr>
          </w:p>
          <w:p w14:paraId="205842F5" w14:textId="6803BE7D" w:rsidR="00710EF4" w:rsidRPr="00710EF4" w:rsidRDefault="007E5BF0" w:rsidP="1376ECC8">
            <w:pPr>
              <w:widowControl w:val="0"/>
              <w:jc w:val="center"/>
              <w:rPr>
                <w:color w:val="2B579A"/>
                <w:sz w:val="17"/>
                <w:szCs w:val="17"/>
                <w:highlight w:val="yellow"/>
              </w:rPr>
            </w:pPr>
            <w:r w:rsidRPr="1376ECC8">
              <w:rPr>
                <w:sz w:val="17"/>
                <w:szCs w:val="17"/>
              </w:rPr>
              <w:t xml:space="preserve">HOME: </w:t>
            </w:r>
          </w:p>
          <w:p w14:paraId="2EE21AAC" w14:textId="004ED164" w:rsidR="007E5BF0" w:rsidRPr="001B22D2" w:rsidRDefault="1F04F1E9" w:rsidP="0044257C">
            <w:pPr>
              <w:widowControl w:val="0"/>
              <w:jc w:val="center"/>
              <w:rPr>
                <w:bCs/>
                <w:sz w:val="17"/>
                <w:szCs w:val="17"/>
              </w:rPr>
            </w:pPr>
            <w:r w:rsidRPr="280FFC52">
              <w:rPr>
                <w:sz w:val="17"/>
                <w:szCs w:val="17"/>
              </w:rPr>
              <w:t>$2,</w:t>
            </w:r>
            <w:r w:rsidR="61DDE837" w:rsidRPr="280FFC52">
              <w:rPr>
                <w:sz w:val="17"/>
                <w:szCs w:val="17"/>
              </w:rPr>
              <w:t>7</w:t>
            </w:r>
            <w:r w:rsidRPr="280FFC52">
              <w:rPr>
                <w:sz w:val="17"/>
                <w:szCs w:val="17"/>
              </w:rPr>
              <w:t>00,000</w:t>
            </w:r>
          </w:p>
          <w:p w14:paraId="50CB30E7" w14:textId="608FE4F7" w:rsidR="00710EF4" w:rsidRPr="00710EF4" w:rsidRDefault="007E5BF0" w:rsidP="1376ECC8">
            <w:pPr>
              <w:widowControl w:val="0"/>
              <w:jc w:val="center"/>
              <w:rPr>
                <w:color w:val="2B579A"/>
                <w:sz w:val="17"/>
                <w:szCs w:val="17"/>
                <w:highlight w:val="yellow"/>
              </w:rPr>
            </w:pPr>
            <w:r w:rsidRPr="1376ECC8">
              <w:rPr>
                <w:sz w:val="17"/>
                <w:szCs w:val="17"/>
              </w:rPr>
              <w:t xml:space="preserve">HTF: </w:t>
            </w:r>
          </w:p>
          <w:p w14:paraId="33260AC2" w14:textId="776308FE" w:rsidR="007E5BF0" w:rsidRPr="001B22D2" w:rsidRDefault="70BE97C2" w:rsidP="0AF95A31">
            <w:pPr>
              <w:widowControl w:val="0"/>
              <w:jc w:val="center"/>
              <w:rPr>
                <w:sz w:val="17"/>
                <w:szCs w:val="17"/>
              </w:rPr>
            </w:pPr>
            <w:r w:rsidRPr="4BD80007">
              <w:rPr>
                <w:sz w:val="17"/>
                <w:szCs w:val="17"/>
              </w:rPr>
              <w:t>$</w:t>
            </w:r>
            <w:r w:rsidR="4DD40F1A" w:rsidRPr="4BD80007">
              <w:rPr>
                <w:sz w:val="17"/>
                <w:szCs w:val="17"/>
              </w:rPr>
              <w:t>2,080,350</w:t>
            </w:r>
          </w:p>
        </w:tc>
        <w:tc>
          <w:tcPr>
            <w:tcW w:w="1249" w:type="pct"/>
            <w:tcBorders>
              <w:top w:val="single" w:sz="4" w:space="0" w:color="auto"/>
              <w:left w:val="single" w:sz="4" w:space="0" w:color="auto"/>
              <w:bottom w:val="single" w:sz="4" w:space="0" w:color="auto"/>
              <w:right w:val="single" w:sz="4" w:space="0" w:color="auto"/>
            </w:tcBorders>
            <w:vAlign w:val="center"/>
          </w:tcPr>
          <w:p w14:paraId="557778E3" w14:textId="44B38490" w:rsidR="007E5BF0" w:rsidRPr="008B3E96" w:rsidRDefault="007E5BF0" w:rsidP="0AF95A31">
            <w:pPr>
              <w:widowControl w:val="0"/>
              <w:rPr>
                <w:sz w:val="17"/>
                <w:szCs w:val="17"/>
              </w:rPr>
            </w:pPr>
            <w:r w:rsidRPr="4BD80007">
              <w:rPr>
                <w:sz w:val="17"/>
                <w:szCs w:val="17"/>
              </w:rPr>
              <w:t xml:space="preserve">Rental units constructed: </w:t>
            </w:r>
            <w:r w:rsidR="21F9A145" w:rsidRPr="4BD80007">
              <w:rPr>
                <w:sz w:val="17"/>
                <w:szCs w:val="17"/>
              </w:rPr>
              <w:t>20</w:t>
            </w:r>
            <w:r w:rsidR="2AC5B991" w:rsidRPr="4BD80007">
              <w:rPr>
                <w:sz w:val="17"/>
                <w:szCs w:val="17"/>
              </w:rPr>
              <w:t xml:space="preserve"> </w:t>
            </w:r>
            <w:r w:rsidRPr="4BD80007">
              <w:rPr>
                <w:sz w:val="17"/>
                <w:szCs w:val="17"/>
              </w:rPr>
              <w:t>Household/Housing Units</w:t>
            </w:r>
          </w:p>
          <w:p w14:paraId="63657015" w14:textId="77777777" w:rsidR="007E5BF0" w:rsidRPr="008B3E96" w:rsidRDefault="007E5BF0" w:rsidP="1376ECC8">
            <w:pPr>
              <w:widowControl w:val="0"/>
              <w:rPr>
                <w:sz w:val="17"/>
                <w:szCs w:val="17"/>
              </w:rPr>
            </w:pPr>
          </w:p>
          <w:p w14:paraId="4589CABE" w14:textId="16D56415" w:rsidR="007E5BF0" w:rsidRPr="008B3E96" w:rsidRDefault="007E5BF0" w:rsidP="0AF95A31">
            <w:pPr>
              <w:widowControl w:val="0"/>
              <w:rPr>
                <w:sz w:val="17"/>
                <w:szCs w:val="17"/>
              </w:rPr>
            </w:pPr>
            <w:r w:rsidRPr="54FDEEE5">
              <w:rPr>
                <w:sz w:val="17"/>
                <w:szCs w:val="17"/>
              </w:rPr>
              <w:t xml:space="preserve">Rental units rehabilitated: </w:t>
            </w:r>
            <w:r w:rsidR="3412AAE7" w:rsidRPr="12909959">
              <w:rPr>
                <w:sz w:val="17"/>
                <w:szCs w:val="17"/>
              </w:rPr>
              <w:t>30</w:t>
            </w:r>
            <w:r w:rsidRPr="12909959">
              <w:rPr>
                <w:sz w:val="17"/>
                <w:szCs w:val="17"/>
              </w:rPr>
              <w:t xml:space="preserve"> </w:t>
            </w:r>
            <w:r w:rsidRPr="54FDEEE5">
              <w:rPr>
                <w:sz w:val="17"/>
                <w:szCs w:val="17"/>
              </w:rPr>
              <w:t>Household/Housing Units</w:t>
            </w:r>
          </w:p>
          <w:p w14:paraId="5233B131" w14:textId="77777777" w:rsidR="007E5BF0" w:rsidRPr="008B3E96" w:rsidRDefault="007E5BF0" w:rsidP="1376ECC8">
            <w:pPr>
              <w:widowControl w:val="0"/>
              <w:rPr>
                <w:sz w:val="17"/>
                <w:szCs w:val="17"/>
              </w:rPr>
            </w:pPr>
          </w:p>
          <w:p w14:paraId="24217A4C" w14:textId="5F2BADAF" w:rsidR="007E5BF0" w:rsidRPr="008B3E96" w:rsidRDefault="007E5BF0" w:rsidP="1376ECC8">
            <w:pPr>
              <w:widowControl w:val="0"/>
              <w:rPr>
                <w:sz w:val="17"/>
                <w:szCs w:val="17"/>
              </w:rPr>
            </w:pPr>
            <w:r w:rsidRPr="1376ECC8">
              <w:rPr>
                <w:sz w:val="17"/>
                <w:szCs w:val="17"/>
              </w:rPr>
              <w:t xml:space="preserve">Homeowner Housing Added: </w:t>
            </w:r>
            <w:r w:rsidR="563CA535" w:rsidRPr="12909959">
              <w:rPr>
                <w:sz w:val="17"/>
                <w:szCs w:val="17"/>
              </w:rPr>
              <w:t xml:space="preserve">2 </w:t>
            </w:r>
            <w:r w:rsidRPr="1376ECC8">
              <w:rPr>
                <w:sz w:val="17"/>
                <w:szCs w:val="17"/>
              </w:rPr>
              <w:t>Household/Housing Units</w:t>
            </w:r>
          </w:p>
          <w:p w14:paraId="335D72C1" w14:textId="77777777" w:rsidR="007E5BF0" w:rsidRPr="008B3E96" w:rsidRDefault="007E5BF0" w:rsidP="1376ECC8">
            <w:pPr>
              <w:widowControl w:val="0"/>
              <w:rPr>
                <w:sz w:val="17"/>
                <w:szCs w:val="17"/>
              </w:rPr>
            </w:pPr>
          </w:p>
          <w:p w14:paraId="230811FC" w14:textId="17C4EEAC" w:rsidR="007E5BF0" w:rsidRPr="008B3E96" w:rsidRDefault="007E5BF0" w:rsidP="0AF95A31">
            <w:pPr>
              <w:widowControl w:val="0"/>
              <w:rPr>
                <w:sz w:val="17"/>
                <w:szCs w:val="17"/>
              </w:rPr>
            </w:pPr>
            <w:r w:rsidRPr="4BD80007">
              <w:rPr>
                <w:sz w:val="17"/>
                <w:szCs w:val="17"/>
              </w:rPr>
              <w:t xml:space="preserve">Homeowner Housing Rehabilitated: </w:t>
            </w:r>
            <w:r w:rsidR="324BDBAD" w:rsidRPr="4BD80007">
              <w:rPr>
                <w:sz w:val="17"/>
                <w:szCs w:val="17"/>
              </w:rPr>
              <w:t>5</w:t>
            </w:r>
            <w:r w:rsidR="33929B80" w:rsidRPr="4BD80007">
              <w:rPr>
                <w:sz w:val="17"/>
                <w:szCs w:val="17"/>
              </w:rPr>
              <w:t xml:space="preserve"> </w:t>
            </w:r>
            <w:r w:rsidRPr="4BD80007">
              <w:rPr>
                <w:sz w:val="17"/>
                <w:szCs w:val="17"/>
              </w:rPr>
              <w:t>Household/Housing Units</w:t>
            </w:r>
          </w:p>
          <w:p w14:paraId="07A6A90C" w14:textId="77777777" w:rsidR="007E5BF0" w:rsidRPr="008B3E96" w:rsidRDefault="007E5BF0" w:rsidP="1376ECC8">
            <w:pPr>
              <w:widowControl w:val="0"/>
              <w:rPr>
                <w:sz w:val="17"/>
                <w:szCs w:val="17"/>
              </w:rPr>
            </w:pPr>
          </w:p>
          <w:p w14:paraId="1FAFE330" w14:textId="653533D5" w:rsidR="007E5BF0" w:rsidRPr="008B3E96" w:rsidRDefault="007E5BF0" w:rsidP="0AF95A31">
            <w:pPr>
              <w:widowControl w:val="0"/>
              <w:rPr>
                <w:sz w:val="17"/>
                <w:szCs w:val="17"/>
              </w:rPr>
            </w:pPr>
            <w:r w:rsidRPr="0AF95A31">
              <w:rPr>
                <w:sz w:val="17"/>
                <w:szCs w:val="17"/>
              </w:rPr>
              <w:t xml:space="preserve">Direct Financial Assistance to Homebuyers: </w:t>
            </w:r>
            <w:r w:rsidR="0E337E51" w:rsidRPr="0AF95A31" w:rsidDel="00BA3D37">
              <w:rPr>
                <w:sz w:val="17"/>
                <w:szCs w:val="17"/>
              </w:rPr>
              <w:t>10</w:t>
            </w:r>
            <w:r w:rsidR="693797F4" w:rsidRPr="0AF95A31">
              <w:rPr>
                <w:sz w:val="17"/>
                <w:szCs w:val="17"/>
              </w:rPr>
              <w:t xml:space="preserve"> </w:t>
            </w:r>
            <w:r w:rsidRPr="0AF95A31">
              <w:rPr>
                <w:sz w:val="17"/>
                <w:szCs w:val="17"/>
              </w:rPr>
              <w:t>Households Assisted</w:t>
            </w:r>
          </w:p>
        </w:tc>
      </w:tr>
      <w:tr w:rsidR="00840006" w:rsidRPr="001B22D2" w14:paraId="05EA4E30" w14:textId="77777777" w:rsidTr="4BD80007">
        <w:trPr>
          <w:cantSplit/>
          <w:trHeight w:val="251"/>
        </w:trPr>
        <w:tc>
          <w:tcPr>
            <w:tcW w:w="165" w:type="pct"/>
            <w:vMerge/>
            <w:vAlign w:val="center"/>
          </w:tcPr>
          <w:p w14:paraId="027E1D4F" w14:textId="77777777" w:rsidR="007E5BF0" w:rsidRPr="001B22D2" w:rsidRDefault="007E5BF0" w:rsidP="0044257C">
            <w:pPr>
              <w:widowControl w:val="0"/>
              <w:rPr>
                <w:bCs/>
                <w:sz w:val="17"/>
                <w:szCs w:val="17"/>
              </w:rPr>
            </w:pPr>
          </w:p>
        </w:tc>
        <w:tc>
          <w:tcPr>
            <w:tcW w:w="681" w:type="pct"/>
            <w:vMerge/>
            <w:vAlign w:val="center"/>
          </w:tcPr>
          <w:p w14:paraId="3B36FF52" w14:textId="77777777" w:rsidR="007E5BF0" w:rsidRPr="001B22D2" w:rsidRDefault="007E5BF0" w:rsidP="0044257C">
            <w:pPr>
              <w:widowControl w:val="0"/>
              <w:jc w:val="center"/>
              <w:rPr>
                <w:b/>
                <w:sz w:val="17"/>
                <w:szCs w:val="17"/>
              </w:rPr>
            </w:pPr>
          </w:p>
        </w:tc>
        <w:tc>
          <w:tcPr>
            <w:tcW w:w="4155" w:type="pct"/>
            <w:gridSpan w:val="6"/>
            <w:tcBorders>
              <w:top w:val="single" w:sz="4" w:space="0" w:color="auto"/>
              <w:left w:val="single" w:sz="4" w:space="0" w:color="auto"/>
              <w:bottom w:val="single" w:sz="4" w:space="0" w:color="auto"/>
              <w:right w:val="single" w:sz="4" w:space="0" w:color="auto"/>
            </w:tcBorders>
            <w:vAlign w:val="center"/>
          </w:tcPr>
          <w:p w14:paraId="47EDB94B" w14:textId="6AAC6A62" w:rsidR="007E5BF0" w:rsidRPr="008B3E96" w:rsidRDefault="007E5BF0" w:rsidP="54FDEEE5">
            <w:pPr>
              <w:widowControl w:val="0"/>
              <w:rPr>
                <w:sz w:val="17"/>
                <w:szCs w:val="17"/>
              </w:rPr>
            </w:pPr>
            <w:r w:rsidRPr="54FDEEE5">
              <w:rPr>
                <w:sz w:val="17"/>
                <w:szCs w:val="17"/>
              </w:rPr>
              <w:t xml:space="preserve">Funding and outcome goals are Year </w:t>
            </w:r>
            <w:r w:rsidR="00BA3D37">
              <w:rPr>
                <w:sz w:val="17"/>
                <w:szCs w:val="17"/>
              </w:rPr>
              <w:t>5</w:t>
            </w:r>
            <w:r w:rsidR="00BA3D37" w:rsidRPr="54FDEEE5">
              <w:rPr>
                <w:sz w:val="17"/>
                <w:szCs w:val="17"/>
              </w:rPr>
              <w:t xml:space="preserve"> </w:t>
            </w:r>
            <w:r w:rsidRPr="54FDEEE5">
              <w:rPr>
                <w:sz w:val="17"/>
                <w:szCs w:val="17"/>
              </w:rPr>
              <w:t xml:space="preserve">estimates. Montana will use CDBG, HOME, and HTF resources to fund affordable housing activities that benefit extremely low-, low-, and moderate-income persons. </w:t>
            </w:r>
          </w:p>
        </w:tc>
      </w:tr>
      <w:tr w:rsidR="00E14079" w:rsidRPr="001B22D2" w14:paraId="13E0F830" w14:textId="77777777" w:rsidTr="4BD80007">
        <w:trPr>
          <w:cantSplit/>
          <w:trHeight w:val="251"/>
        </w:trPr>
        <w:tc>
          <w:tcPr>
            <w:tcW w:w="165" w:type="pct"/>
            <w:vMerge w:val="restart"/>
            <w:tcBorders>
              <w:top w:val="single" w:sz="4" w:space="0" w:color="auto"/>
              <w:left w:val="single" w:sz="4" w:space="0" w:color="auto"/>
              <w:right w:val="single" w:sz="4" w:space="0" w:color="auto"/>
            </w:tcBorders>
            <w:vAlign w:val="center"/>
          </w:tcPr>
          <w:p w14:paraId="08C6360C" w14:textId="77777777" w:rsidR="007E5BF0" w:rsidRPr="001B22D2" w:rsidRDefault="007E5BF0" w:rsidP="0044257C">
            <w:pPr>
              <w:widowControl w:val="0"/>
              <w:rPr>
                <w:sz w:val="17"/>
                <w:szCs w:val="17"/>
              </w:rPr>
            </w:pPr>
            <w:r w:rsidRPr="001B22D2">
              <w:rPr>
                <w:sz w:val="17"/>
                <w:szCs w:val="17"/>
              </w:rPr>
              <w:t>2</w:t>
            </w:r>
          </w:p>
        </w:tc>
        <w:tc>
          <w:tcPr>
            <w:tcW w:w="681" w:type="pct"/>
            <w:vMerge w:val="restart"/>
            <w:tcBorders>
              <w:top w:val="single" w:sz="4" w:space="0" w:color="auto"/>
              <w:left w:val="single" w:sz="4" w:space="0" w:color="auto"/>
              <w:right w:val="single" w:sz="4" w:space="0" w:color="auto"/>
            </w:tcBorders>
            <w:vAlign w:val="center"/>
          </w:tcPr>
          <w:p w14:paraId="37141D16" w14:textId="77777777" w:rsidR="007E5BF0" w:rsidRPr="001B22D2" w:rsidRDefault="007E5BF0" w:rsidP="0044257C">
            <w:pPr>
              <w:widowControl w:val="0"/>
              <w:rPr>
                <w:b/>
                <w:bCs/>
                <w:sz w:val="17"/>
                <w:szCs w:val="17"/>
              </w:rPr>
            </w:pPr>
            <w:r w:rsidRPr="001B22D2">
              <w:rPr>
                <w:b/>
                <w:bCs/>
                <w:sz w:val="17"/>
                <w:szCs w:val="17"/>
              </w:rPr>
              <w:t>Plan for Communities</w:t>
            </w:r>
          </w:p>
        </w:tc>
        <w:tc>
          <w:tcPr>
            <w:tcW w:w="459" w:type="pct"/>
            <w:tcBorders>
              <w:top w:val="single" w:sz="4" w:space="0" w:color="auto"/>
              <w:left w:val="single" w:sz="4" w:space="0" w:color="auto"/>
              <w:bottom w:val="single" w:sz="4" w:space="0" w:color="auto"/>
              <w:right w:val="single" w:sz="4" w:space="0" w:color="auto"/>
            </w:tcBorders>
            <w:vAlign w:val="center"/>
          </w:tcPr>
          <w:p w14:paraId="19ACADB6" w14:textId="737A2464" w:rsidR="007E5BF0" w:rsidRPr="001B22D2" w:rsidRDefault="007E5BF0" w:rsidP="0044257C">
            <w:pPr>
              <w:widowControl w:val="0"/>
              <w:jc w:val="center"/>
              <w:rPr>
                <w:bCs/>
                <w:sz w:val="17"/>
                <w:szCs w:val="17"/>
              </w:rPr>
            </w:pPr>
            <w:r w:rsidRPr="001B22D2">
              <w:rPr>
                <w:bCs/>
                <w:sz w:val="17"/>
                <w:szCs w:val="17"/>
              </w:rPr>
              <w:t>202</w:t>
            </w:r>
            <w:r w:rsidR="00BA3D37">
              <w:rPr>
                <w:bCs/>
                <w:sz w:val="17"/>
                <w:szCs w:val="17"/>
              </w:rPr>
              <w:t>4</w:t>
            </w:r>
          </w:p>
          <w:p w14:paraId="1090D4FE" w14:textId="77777777" w:rsidR="007E5BF0" w:rsidRPr="001B22D2" w:rsidRDefault="007E5BF0" w:rsidP="0044257C">
            <w:pPr>
              <w:widowControl w:val="0"/>
              <w:jc w:val="center"/>
              <w:rPr>
                <w:bCs/>
                <w:sz w:val="17"/>
                <w:szCs w:val="17"/>
              </w:rPr>
            </w:pPr>
            <w:r w:rsidRPr="001B22D2">
              <w:rPr>
                <w:bCs/>
                <w:sz w:val="17"/>
                <w:szCs w:val="17"/>
              </w:rPr>
              <w:t>(Apr 1)</w:t>
            </w:r>
          </w:p>
          <w:p w14:paraId="1F47DEC1" w14:textId="77777777" w:rsidR="007E5BF0" w:rsidRPr="001B22D2" w:rsidRDefault="007E5BF0" w:rsidP="0044257C">
            <w:pPr>
              <w:widowControl w:val="0"/>
              <w:jc w:val="center"/>
              <w:rPr>
                <w:bCs/>
                <w:sz w:val="17"/>
                <w:szCs w:val="17"/>
              </w:rPr>
            </w:pPr>
            <w:r w:rsidRPr="001B22D2">
              <w:rPr>
                <w:bCs/>
                <w:sz w:val="17"/>
                <w:szCs w:val="17"/>
              </w:rPr>
              <w:t>to</w:t>
            </w:r>
          </w:p>
          <w:p w14:paraId="23395AB9" w14:textId="2FD2F4A9" w:rsidR="007E5BF0" w:rsidRPr="001B22D2" w:rsidRDefault="007E5BF0" w:rsidP="0044257C">
            <w:pPr>
              <w:widowControl w:val="0"/>
              <w:jc w:val="center"/>
              <w:rPr>
                <w:bCs/>
                <w:sz w:val="17"/>
                <w:szCs w:val="17"/>
              </w:rPr>
            </w:pPr>
            <w:r w:rsidRPr="001B22D2">
              <w:rPr>
                <w:bCs/>
                <w:sz w:val="17"/>
                <w:szCs w:val="17"/>
              </w:rPr>
              <w:t>202</w:t>
            </w:r>
            <w:r w:rsidR="00BA3D37">
              <w:rPr>
                <w:bCs/>
                <w:sz w:val="17"/>
                <w:szCs w:val="17"/>
              </w:rPr>
              <w:t>5</w:t>
            </w:r>
          </w:p>
          <w:p w14:paraId="6A5A1F0E" w14:textId="77777777" w:rsidR="007E5BF0" w:rsidRPr="001B22D2" w:rsidRDefault="007E5BF0" w:rsidP="0044257C">
            <w:pPr>
              <w:widowControl w:val="0"/>
              <w:jc w:val="center"/>
              <w:rPr>
                <w:sz w:val="17"/>
                <w:szCs w:val="17"/>
              </w:rPr>
            </w:pPr>
            <w:r w:rsidRPr="001B22D2">
              <w:rPr>
                <w:bCs/>
                <w:sz w:val="17"/>
                <w:szCs w:val="17"/>
              </w:rPr>
              <w:t>(Mar 31)</w:t>
            </w:r>
          </w:p>
        </w:tc>
        <w:tc>
          <w:tcPr>
            <w:tcW w:w="645" w:type="pct"/>
            <w:tcBorders>
              <w:top w:val="single" w:sz="4" w:space="0" w:color="auto"/>
              <w:left w:val="single" w:sz="4" w:space="0" w:color="auto"/>
              <w:bottom w:val="single" w:sz="4" w:space="0" w:color="auto"/>
              <w:right w:val="single" w:sz="4" w:space="0" w:color="auto"/>
            </w:tcBorders>
            <w:vAlign w:val="center"/>
          </w:tcPr>
          <w:p w14:paraId="1E66509A" w14:textId="77777777" w:rsidR="007E5BF0" w:rsidRPr="001B22D2" w:rsidRDefault="007E5BF0" w:rsidP="0044257C">
            <w:pPr>
              <w:widowControl w:val="0"/>
              <w:jc w:val="center"/>
              <w:rPr>
                <w:sz w:val="17"/>
                <w:szCs w:val="17"/>
              </w:rPr>
            </w:pPr>
            <w:r w:rsidRPr="001B22D2">
              <w:rPr>
                <w:sz w:val="17"/>
                <w:szCs w:val="17"/>
              </w:rPr>
              <w:t>Non-Housing Community Development</w:t>
            </w:r>
          </w:p>
        </w:tc>
        <w:tc>
          <w:tcPr>
            <w:tcW w:w="564" w:type="pct"/>
            <w:tcBorders>
              <w:top w:val="single" w:sz="4" w:space="0" w:color="auto"/>
              <w:left w:val="single" w:sz="4" w:space="0" w:color="auto"/>
              <w:bottom w:val="single" w:sz="4" w:space="0" w:color="auto"/>
              <w:right w:val="single" w:sz="4" w:space="0" w:color="auto"/>
            </w:tcBorders>
            <w:vAlign w:val="center"/>
          </w:tcPr>
          <w:p w14:paraId="562EE8BA" w14:textId="77777777" w:rsidR="007E5BF0" w:rsidRPr="001B22D2" w:rsidRDefault="007E5BF0" w:rsidP="0044257C">
            <w:pPr>
              <w:widowControl w:val="0"/>
              <w:jc w:val="center"/>
              <w:rPr>
                <w:sz w:val="17"/>
                <w:szCs w:val="17"/>
              </w:rPr>
            </w:pPr>
            <w:r w:rsidRPr="001B22D2">
              <w:rPr>
                <w:sz w:val="17"/>
                <w:szCs w:val="17"/>
              </w:rPr>
              <w:t>Statewide</w:t>
            </w:r>
          </w:p>
        </w:tc>
        <w:tc>
          <w:tcPr>
            <w:tcW w:w="671" w:type="pct"/>
            <w:tcBorders>
              <w:top w:val="single" w:sz="4" w:space="0" w:color="auto"/>
              <w:left w:val="single" w:sz="4" w:space="0" w:color="auto"/>
              <w:bottom w:val="single" w:sz="4" w:space="0" w:color="auto"/>
              <w:right w:val="single" w:sz="4" w:space="0" w:color="auto"/>
            </w:tcBorders>
            <w:vAlign w:val="center"/>
          </w:tcPr>
          <w:p w14:paraId="60A31E08" w14:textId="77777777" w:rsidR="007E5BF0" w:rsidRPr="001B22D2" w:rsidRDefault="007E5BF0" w:rsidP="0044257C">
            <w:pPr>
              <w:widowControl w:val="0"/>
              <w:jc w:val="center"/>
              <w:rPr>
                <w:sz w:val="17"/>
                <w:szCs w:val="17"/>
              </w:rPr>
            </w:pPr>
            <w:r w:rsidRPr="001B22D2">
              <w:rPr>
                <w:sz w:val="17"/>
                <w:szCs w:val="17"/>
              </w:rPr>
              <w:t>Community Planning</w:t>
            </w:r>
          </w:p>
        </w:tc>
        <w:tc>
          <w:tcPr>
            <w:tcW w:w="566" w:type="pct"/>
            <w:tcBorders>
              <w:top w:val="single" w:sz="4" w:space="0" w:color="auto"/>
              <w:left w:val="single" w:sz="4" w:space="0" w:color="auto"/>
              <w:bottom w:val="single" w:sz="4" w:space="0" w:color="auto"/>
              <w:right w:val="single" w:sz="4" w:space="0" w:color="auto"/>
            </w:tcBorders>
            <w:vAlign w:val="center"/>
          </w:tcPr>
          <w:p w14:paraId="6CC3F969" w14:textId="20F6BDFD" w:rsidR="007E5BF0" w:rsidRPr="001B22D2" w:rsidRDefault="007E5BF0" w:rsidP="0044257C">
            <w:pPr>
              <w:widowControl w:val="0"/>
              <w:jc w:val="center"/>
              <w:rPr>
                <w:sz w:val="17"/>
                <w:szCs w:val="17"/>
              </w:rPr>
            </w:pPr>
            <w:r w:rsidRPr="4BD80007">
              <w:rPr>
                <w:sz w:val="17"/>
                <w:szCs w:val="17"/>
              </w:rPr>
              <w:t xml:space="preserve">CDBG: </w:t>
            </w:r>
            <w:r w:rsidR="00317FFE">
              <w:rPr>
                <w:sz w:val="17"/>
                <w:szCs w:val="17"/>
              </w:rPr>
              <w:t>$600,000</w:t>
            </w:r>
          </w:p>
        </w:tc>
        <w:tc>
          <w:tcPr>
            <w:tcW w:w="1249" w:type="pct"/>
            <w:tcBorders>
              <w:top w:val="single" w:sz="4" w:space="0" w:color="auto"/>
              <w:left w:val="single" w:sz="4" w:space="0" w:color="auto"/>
              <w:bottom w:val="single" w:sz="4" w:space="0" w:color="auto"/>
              <w:right w:val="single" w:sz="4" w:space="0" w:color="auto"/>
            </w:tcBorders>
            <w:vAlign w:val="center"/>
          </w:tcPr>
          <w:p w14:paraId="35442F8D" w14:textId="1B3F4A59" w:rsidR="007E5BF0" w:rsidRPr="008B3E96" w:rsidRDefault="6E2AF0CD" w:rsidP="54FDEEE5">
            <w:pPr>
              <w:widowControl w:val="0"/>
              <w:rPr>
                <w:sz w:val="17"/>
                <w:szCs w:val="17"/>
              </w:rPr>
            </w:pPr>
            <w:r w:rsidRPr="20D6D51F">
              <w:rPr>
                <w:sz w:val="17"/>
                <w:szCs w:val="17"/>
              </w:rPr>
              <w:t xml:space="preserve"> </w:t>
            </w:r>
            <w:r w:rsidR="0023706D">
              <w:rPr>
                <w:sz w:val="17"/>
                <w:szCs w:val="17"/>
              </w:rPr>
              <w:t>20 Local Governments Assisted</w:t>
            </w:r>
          </w:p>
        </w:tc>
      </w:tr>
      <w:tr w:rsidR="00840006" w:rsidRPr="001B22D2" w14:paraId="22439204" w14:textId="77777777" w:rsidTr="4BD80007">
        <w:trPr>
          <w:cantSplit/>
          <w:trHeight w:val="251"/>
        </w:trPr>
        <w:tc>
          <w:tcPr>
            <w:tcW w:w="165" w:type="pct"/>
            <w:vMerge/>
            <w:vAlign w:val="center"/>
          </w:tcPr>
          <w:p w14:paraId="389DF340" w14:textId="77777777" w:rsidR="007E5BF0" w:rsidRPr="001B22D2" w:rsidRDefault="007E5BF0" w:rsidP="0044257C">
            <w:pPr>
              <w:widowControl w:val="0"/>
              <w:rPr>
                <w:bCs/>
                <w:sz w:val="17"/>
                <w:szCs w:val="17"/>
              </w:rPr>
            </w:pPr>
          </w:p>
        </w:tc>
        <w:tc>
          <w:tcPr>
            <w:tcW w:w="681" w:type="pct"/>
            <w:vMerge/>
            <w:vAlign w:val="center"/>
          </w:tcPr>
          <w:p w14:paraId="1E899F5D" w14:textId="77777777" w:rsidR="007E5BF0" w:rsidRPr="001B22D2" w:rsidRDefault="007E5BF0" w:rsidP="0044257C">
            <w:pPr>
              <w:widowControl w:val="0"/>
              <w:jc w:val="center"/>
              <w:rPr>
                <w:b/>
                <w:sz w:val="17"/>
                <w:szCs w:val="17"/>
              </w:rPr>
            </w:pPr>
          </w:p>
        </w:tc>
        <w:tc>
          <w:tcPr>
            <w:tcW w:w="4155" w:type="pct"/>
            <w:gridSpan w:val="6"/>
            <w:tcBorders>
              <w:top w:val="single" w:sz="4" w:space="0" w:color="auto"/>
              <w:left w:val="single" w:sz="4" w:space="0" w:color="auto"/>
              <w:bottom w:val="single" w:sz="4" w:space="0" w:color="auto"/>
              <w:right w:val="single" w:sz="4" w:space="0" w:color="auto"/>
            </w:tcBorders>
            <w:vAlign w:val="center"/>
          </w:tcPr>
          <w:p w14:paraId="20B386B5" w14:textId="3A60A0F5" w:rsidR="007E5BF0" w:rsidRPr="008B3E96" w:rsidRDefault="7ECBA7D4" w:rsidP="54FDEEE5">
            <w:pPr>
              <w:widowControl w:val="0"/>
              <w:rPr>
                <w:sz w:val="17"/>
                <w:szCs w:val="17"/>
              </w:rPr>
            </w:pPr>
            <w:r w:rsidRPr="7D0EE0CF">
              <w:rPr>
                <w:sz w:val="17"/>
                <w:szCs w:val="17"/>
              </w:rPr>
              <w:t xml:space="preserve">Funding and outcome goals are Year </w:t>
            </w:r>
            <w:r w:rsidR="1A06B9FE" w:rsidRPr="7D0EE0CF">
              <w:rPr>
                <w:sz w:val="17"/>
                <w:szCs w:val="17"/>
              </w:rPr>
              <w:t xml:space="preserve">5 </w:t>
            </w:r>
            <w:r w:rsidRPr="7D0EE0CF">
              <w:rPr>
                <w:sz w:val="17"/>
                <w:szCs w:val="17"/>
              </w:rPr>
              <w:t>estimates. Montana will use CDBG resources to help communities engage in various types of planning including comprehensive community development</w:t>
            </w:r>
            <w:r w:rsidR="2143A06B" w:rsidRPr="7D0EE0CF">
              <w:rPr>
                <w:sz w:val="17"/>
                <w:szCs w:val="17"/>
              </w:rPr>
              <w:t xml:space="preserve"> and master plans</w:t>
            </w:r>
            <w:r w:rsidRPr="7D0EE0CF">
              <w:rPr>
                <w:sz w:val="17"/>
                <w:szCs w:val="17"/>
              </w:rPr>
              <w:t xml:space="preserve">, </w:t>
            </w:r>
            <w:r w:rsidRPr="1791ACAF">
              <w:rPr>
                <w:sz w:val="17"/>
                <w:szCs w:val="17"/>
              </w:rPr>
              <w:t>housing</w:t>
            </w:r>
            <w:r w:rsidR="535E6224" w:rsidRPr="1791ACAF">
              <w:rPr>
                <w:sz w:val="17"/>
                <w:szCs w:val="17"/>
              </w:rPr>
              <w:t xml:space="preserve"> </w:t>
            </w:r>
            <w:r w:rsidR="79E6CD58" w:rsidRPr="4CF6D522">
              <w:rPr>
                <w:sz w:val="17"/>
                <w:szCs w:val="17"/>
              </w:rPr>
              <w:t>needs</w:t>
            </w:r>
            <w:r w:rsidR="535E6224" w:rsidRPr="2685AF3E">
              <w:rPr>
                <w:sz w:val="17"/>
                <w:szCs w:val="17"/>
              </w:rPr>
              <w:t xml:space="preserve"> </w:t>
            </w:r>
            <w:r w:rsidR="51528395" w:rsidRPr="7D0EE0CF">
              <w:rPr>
                <w:sz w:val="17"/>
                <w:szCs w:val="17"/>
              </w:rPr>
              <w:t>assessments</w:t>
            </w:r>
            <w:r w:rsidRPr="7D0EE0CF">
              <w:rPr>
                <w:sz w:val="17"/>
                <w:szCs w:val="17"/>
              </w:rPr>
              <w:t>,</w:t>
            </w:r>
            <w:r w:rsidR="3EB6C613" w:rsidRPr="7D0EE0CF">
              <w:rPr>
                <w:sz w:val="17"/>
                <w:szCs w:val="17"/>
              </w:rPr>
              <w:t xml:space="preserve"> land use maps,</w:t>
            </w:r>
            <w:r w:rsidRPr="7D0EE0CF">
              <w:rPr>
                <w:sz w:val="17"/>
                <w:szCs w:val="17"/>
              </w:rPr>
              <w:t xml:space="preserve"> public infrastructure, storm water management, bank stabilization, flood prevention, economic development, downtown revitalization, and preliminary project design. A variety of activities will be funded that primarily benefit low- and moderate-income persons, persons impacted by slums and blight. </w:t>
            </w:r>
          </w:p>
        </w:tc>
      </w:tr>
      <w:tr w:rsidR="00E14079" w:rsidRPr="001B22D2" w14:paraId="77BDAE99" w14:textId="77777777" w:rsidTr="4BD80007">
        <w:trPr>
          <w:cantSplit/>
          <w:trHeight w:val="251"/>
        </w:trPr>
        <w:tc>
          <w:tcPr>
            <w:tcW w:w="165" w:type="pct"/>
            <w:vMerge w:val="restart"/>
            <w:tcBorders>
              <w:top w:val="single" w:sz="4" w:space="0" w:color="auto"/>
              <w:left w:val="single" w:sz="4" w:space="0" w:color="auto"/>
              <w:right w:val="single" w:sz="4" w:space="0" w:color="auto"/>
            </w:tcBorders>
            <w:vAlign w:val="center"/>
          </w:tcPr>
          <w:p w14:paraId="15456924" w14:textId="77777777" w:rsidR="007E5BF0" w:rsidRPr="001B22D2" w:rsidRDefault="007E5BF0" w:rsidP="0044257C">
            <w:pPr>
              <w:widowControl w:val="0"/>
              <w:rPr>
                <w:sz w:val="17"/>
                <w:szCs w:val="17"/>
              </w:rPr>
            </w:pPr>
            <w:r w:rsidRPr="001B22D2">
              <w:rPr>
                <w:sz w:val="17"/>
                <w:szCs w:val="17"/>
              </w:rPr>
              <w:t>3</w:t>
            </w:r>
          </w:p>
        </w:tc>
        <w:tc>
          <w:tcPr>
            <w:tcW w:w="681" w:type="pct"/>
            <w:vMerge w:val="restart"/>
            <w:tcBorders>
              <w:top w:val="single" w:sz="4" w:space="0" w:color="auto"/>
              <w:left w:val="single" w:sz="4" w:space="0" w:color="auto"/>
              <w:right w:val="single" w:sz="4" w:space="0" w:color="auto"/>
            </w:tcBorders>
            <w:vAlign w:val="center"/>
          </w:tcPr>
          <w:p w14:paraId="22DF3AB5" w14:textId="77777777" w:rsidR="007E5BF0" w:rsidRPr="001B22D2" w:rsidRDefault="007E5BF0" w:rsidP="0044257C">
            <w:pPr>
              <w:widowControl w:val="0"/>
              <w:rPr>
                <w:b/>
                <w:bCs/>
                <w:sz w:val="17"/>
                <w:szCs w:val="17"/>
              </w:rPr>
            </w:pPr>
            <w:r w:rsidRPr="001B22D2">
              <w:rPr>
                <w:b/>
                <w:bCs/>
                <w:sz w:val="17"/>
                <w:szCs w:val="17"/>
              </w:rPr>
              <w:t>Improve and Sustain Public Infrastructure</w:t>
            </w:r>
          </w:p>
        </w:tc>
        <w:tc>
          <w:tcPr>
            <w:tcW w:w="459" w:type="pct"/>
            <w:tcBorders>
              <w:top w:val="single" w:sz="4" w:space="0" w:color="auto"/>
              <w:left w:val="single" w:sz="4" w:space="0" w:color="auto"/>
              <w:bottom w:val="single" w:sz="4" w:space="0" w:color="auto"/>
              <w:right w:val="single" w:sz="4" w:space="0" w:color="auto"/>
            </w:tcBorders>
            <w:vAlign w:val="center"/>
          </w:tcPr>
          <w:p w14:paraId="68DC072C" w14:textId="77777777" w:rsidR="007E5BF0" w:rsidRPr="001B22D2" w:rsidRDefault="007E5BF0" w:rsidP="0044257C">
            <w:pPr>
              <w:widowControl w:val="0"/>
              <w:jc w:val="center"/>
              <w:rPr>
                <w:sz w:val="17"/>
                <w:szCs w:val="17"/>
              </w:rPr>
            </w:pPr>
          </w:p>
          <w:p w14:paraId="5C0BFF85" w14:textId="280B98DE" w:rsidR="007E5BF0" w:rsidRPr="001B22D2" w:rsidRDefault="007E5BF0" w:rsidP="0044257C">
            <w:pPr>
              <w:widowControl w:val="0"/>
              <w:jc w:val="center"/>
              <w:rPr>
                <w:bCs/>
                <w:sz w:val="17"/>
                <w:szCs w:val="17"/>
              </w:rPr>
            </w:pPr>
            <w:r w:rsidRPr="001B22D2">
              <w:rPr>
                <w:bCs/>
                <w:sz w:val="17"/>
                <w:szCs w:val="17"/>
              </w:rPr>
              <w:t>202</w:t>
            </w:r>
            <w:r w:rsidR="00BA3D37">
              <w:rPr>
                <w:bCs/>
                <w:sz w:val="17"/>
                <w:szCs w:val="17"/>
              </w:rPr>
              <w:t>4</w:t>
            </w:r>
          </w:p>
          <w:p w14:paraId="535677AB" w14:textId="77777777" w:rsidR="007E5BF0" w:rsidRPr="001B22D2" w:rsidRDefault="007E5BF0" w:rsidP="0044257C">
            <w:pPr>
              <w:widowControl w:val="0"/>
              <w:jc w:val="center"/>
              <w:rPr>
                <w:bCs/>
                <w:sz w:val="17"/>
                <w:szCs w:val="17"/>
              </w:rPr>
            </w:pPr>
            <w:r w:rsidRPr="001B22D2">
              <w:rPr>
                <w:bCs/>
                <w:sz w:val="17"/>
                <w:szCs w:val="17"/>
              </w:rPr>
              <w:t>(Apr 1)</w:t>
            </w:r>
          </w:p>
          <w:p w14:paraId="3739B99B" w14:textId="77777777" w:rsidR="007E5BF0" w:rsidRPr="001B22D2" w:rsidRDefault="007E5BF0" w:rsidP="0044257C">
            <w:pPr>
              <w:widowControl w:val="0"/>
              <w:jc w:val="center"/>
              <w:rPr>
                <w:bCs/>
                <w:sz w:val="17"/>
                <w:szCs w:val="17"/>
              </w:rPr>
            </w:pPr>
            <w:r w:rsidRPr="001B22D2">
              <w:rPr>
                <w:bCs/>
                <w:sz w:val="17"/>
                <w:szCs w:val="17"/>
              </w:rPr>
              <w:t>to</w:t>
            </w:r>
          </w:p>
          <w:p w14:paraId="3C924B05" w14:textId="5FF44986" w:rsidR="007E5BF0" w:rsidRPr="001B22D2" w:rsidRDefault="007E5BF0" w:rsidP="0044257C">
            <w:pPr>
              <w:widowControl w:val="0"/>
              <w:jc w:val="center"/>
              <w:rPr>
                <w:bCs/>
                <w:sz w:val="17"/>
                <w:szCs w:val="17"/>
              </w:rPr>
            </w:pPr>
            <w:r w:rsidRPr="001B22D2">
              <w:rPr>
                <w:bCs/>
                <w:sz w:val="17"/>
                <w:szCs w:val="17"/>
              </w:rPr>
              <w:t>202</w:t>
            </w:r>
            <w:r w:rsidR="00BA3D37">
              <w:rPr>
                <w:bCs/>
                <w:sz w:val="17"/>
                <w:szCs w:val="17"/>
              </w:rPr>
              <w:t>5</w:t>
            </w:r>
          </w:p>
          <w:p w14:paraId="5354E53E" w14:textId="77777777" w:rsidR="007E5BF0" w:rsidRPr="001B22D2" w:rsidRDefault="007E5BF0" w:rsidP="0044257C">
            <w:pPr>
              <w:widowControl w:val="0"/>
              <w:jc w:val="center"/>
              <w:rPr>
                <w:sz w:val="17"/>
                <w:szCs w:val="17"/>
              </w:rPr>
            </w:pPr>
            <w:r w:rsidRPr="001B22D2">
              <w:rPr>
                <w:bCs/>
                <w:sz w:val="17"/>
                <w:szCs w:val="17"/>
              </w:rPr>
              <w:t>(Mar 31)</w:t>
            </w:r>
          </w:p>
        </w:tc>
        <w:tc>
          <w:tcPr>
            <w:tcW w:w="645" w:type="pct"/>
            <w:tcBorders>
              <w:top w:val="single" w:sz="4" w:space="0" w:color="auto"/>
              <w:left w:val="single" w:sz="4" w:space="0" w:color="auto"/>
              <w:bottom w:val="single" w:sz="4" w:space="0" w:color="auto"/>
              <w:right w:val="single" w:sz="4" w:space="0" w:color="auto"/>
            </w:tcBorders>
            <w:vAlign w:val="center"/>
          </w:tcPr>
          <w:p w14:paraId="7AEB60F9" w14:textId="77777777" w:rsidR="007E5BF0" w:rsidRPr="001B22D2" w:rsidRDefault="007E5BF0" w:rsidP="0044257C">
            <w:pPr>
              <w:widowControl w:val="0"/>
              <w:jc w:val="center"/>
              <w:rPr>
                <w:sz w:val="17"/>
                <w:szCs w:val="17"/>
              </w:rPr>
            </w:pPr>
            <w:r w:rsidRPr="001B22D2">
              <w:rPr>
                <w:sz w:val="17"/>
                <w:szCs w:val="17"/>
              </w:rPr>
              <w:t>Non-Housing Community Development</w:t>
            </w:r>
          </w:p>
        </w:tc>
        <w:tc>
          <w:tcPr>
            <w:tcW w:w="564" w:type="pct"/>
            <w:tcBorders>
              <w:top w:val="single" w:sz="4" w:space="0" w:color="auto"/>
              <w:left w:val="single" w:sz="4" w:space="0" w:color="auto"/>
              <w:bottom w:val="single" w:sz="4" w:space="0" w:color="auto"/>
              <w:right w:val="single" w:sz="4" w:space="0" w:color="auto"/>
            </w:tcBorders>
            <w:vAlign w:val="center"/>
          </w:tcPr>
          <w:p w14:paraId="32F42E6A" w14:textId="77777777" w:rsidR="007E5BF0" w:rsidRPr="001B22D2" w:rsidRDefault="007E5BF0" w:rsidP="0044257C">
            <w:pPr>
              <w:widowControl w:val="0"/>
              <w:jc w:val="center"/>
              <w:rPr>
                <w:sz w:val="17"/>
                <w:szCs w:val="17"/>
              </w:rPr>
            </w:pPr>
            <w:r w:rsidRPr="001B22D2">
              <w:rPr>
                <w:sz w:val="17"/>
                <w:szCs w:val="17"/>
              </w:rPr>
              <w:t>Statewide</w:t>
            </w:r>
          </w:p>
        </w:tc>
        <w:tc>
          <w:tcPr>
            <w:tcW w:w="671" w:type="pct"/>
            <w:tcBorders>
              <w:top w:val="single" w:sz="4" w:space="0" w:color="auto"/>
              <w:left w:val="single" w:sz="4" w:space="0" w:color="auto"/>
              <w:bottom w:val="single" w:sz="4" w:space="0" w:color="auto"/>
              <w:right w:val="single" w:sz="4" w:space="0" w:color="auto"/>
            </w:tcBorders>
            <w:vAlign w:val="center"/>
          </w:tcPr>
          <w:p w14:paraId="5CA55905" w14:textId="77777777" w:rsidR="007E5BF0" w:rsidRPr="001B22D2" w:rsidRDefault="007E5BF0" w:rsidP="0044257C">
            <w:pPr>
              <w:widowControl w:val="0"/>
              <w:jc w:val="center"/>
              <w:rPr>
                <w:sz w:val="17"/>
                <w:szCs w:val="17"/>
              </w:rPr>
            </w:pPr>
            <w:r w:rsidRPr="001B22D2">
              <w:rPr>
                <w:sz w:val="17"/>
                <w:szCs w:val="17"/>
              </w:rPr>
              <w:t>Improving and Sustaining Vital Public Infrastructure</w:t>
            </w:r>
          </w:p>
        </w:tc>
        <w:tc>
          <w:tcPr>
            <w:tcW w:w="566" w:type="pct"/>
            <w:tcBorders>
              <w:top w:val="single" w:sz="4" w:space="0" w:color="auto"/>
              <w:left w:val="single" w:sz="4" w:space="0" w:color="auto"/>
              <w:bottom w:val="single" w:sz="4" w:space="0" w:color="auto"/>
              <w:right w:val="single" w:sz="4" w:space="0" w:color="auto"/>
            </w:tcBorders>
            <w:vAlign w:val="center"/>
          </w:tcPr>
          <w:p w14:paraId="19796DEE" w14:textId="77777777" w:rsidR="007E5BF0" w:rsidRDefault="007E5BF0" w:rsidP="008007E9">
            <w:pPr>
              <w:widowControl w:val="0"/>
              <w:jc w:val="center"/>
              <w:rPr>
                <w:sz w:val="17"/>
                <w:szCs w:val="17"/>
              </w:rPr>
            </w:pPr>
            <w:r w:rsidRPr="30C7FF53">
              <w:rPr>
                <w:sz w:val="17"/>
                <w:szCs w:val="17"/>
              </w:rPr>
              <w:t xml:space="preserve">CDBG: </w:t>
            </w:r>
          </w:p>
          <w:p w14:paraId="2D963AB6" w14:textId="3575C526" w:rsidR="00204D19" w:rsidRPr="00840006" w:rsidRDefault="00E14079" w:rsidP="4BD80007">
            <w:pPr>
              <w:widowControl w:val="0"/>
              <w:jc w:val="center"/>
              <w:rPr>
                <w:sz w:val="17"/>
                <w:szCs w:val="17"/>
                <w:highlight w:val="yellow"/>
              </w:rPr>
            </w:pPr>
            <w:r>
              <w:rPr>
                <w:sz w:val="17"/>
                <w:szCs w:val="17"/>
              </w:rPr>
              <w:t>$2,587,33</w:t>
            </w:r>
            <w:r w:rsidR="00840006">
              <w:rPr>
                <w:sz w:val="17"/>
                <w:szCs w:val="17"/>
              </w:rPr>
              <w:t>1</w:t>
            </w:r>
          </w:p>
        </w:tc>
        <w:tc>
          <w:tcPr>
            <w:tcW w:w="1249" w:type="pct"/>
            <w:tcBorders>
              <w:top w:val="single" w:sz="4" w:space="0" w:color="auto"/>
              <w:left w:val="single" w:sz="4" w:space="0" w:color="auto"/>
              <w:bottom w:val="single" w:sz="4" w:space="0" w:color="auto"/>
              <w:right w:val="single" w:sz="4" w:space="0" w:color="auto"/>
            </w:tcBorders>
            <w:vAlign w:val="center"/>
          </w:tcPr>
          <w:p w14:paraId="77571ACD" w14:textId="241790A3" w:rsidR="007E5BF0" w:rsidRPr="008B3E96" w:rsidRDefault="007E5BF0" w:rsidP="54FDEEE5">
            <w:pPr>
              <w:widowControl w:val="0"/>
              <w:rPr>
                <w:sz w:val="17"/>
                <w:szCs w:val="17"/>
              </w:rPr>
            </w:pPr>
            <w:r w:rsidRPr="4BD80007">
              <w:rPr>
                <w:sz w:val="17"/>
                <w:szCs w:val="17"/>
              </w:rPr>
              <w:t xml:space="preserve">Public Facility or Infrastructure Activities other than Low/Moderate Income Housing Benefit: </w:t>
            </w:r>
            <w:r w:rsidR="0023706D" w:rsidRPr="4BD80007">
              <w:rPr>
                <w:sz w:val="17"/>
                <w:szCs w:val="17"/>
              </w:rPr>
              <w:t>1</w:t>
            </w:r>
            <w:r w:rsidR="5B2D984C" w:rsidRPr="4BD80007">
              <w:rPr>
                <w:sz w:val="17"/>
                <w:szCs w:val="17"/>
              </w:rPr>
              <w:t>,</w:t>
            </w:r>
            <w:r w:rsidR="0023706D" w:rsidRPr="4BD80007">
              <w:rPr>
                <w:sz w:val="17"/>
                <w:szCs w:val="17"/>
              </w:rPr>
              <w:t xml:space="preserve">000 </w:t>
            </w:r>
            <w:r w:rsidRPr="4BD80007">
              <w:rPr>
                <w:sz w:val="17"/>
                <w:szCs w:val="17"/>
              </w:rPr>
              <w:t>Persons Assisted</w:t>
            </w:r>
          </w:p>
          <w:p w14:paraId="63AC1DA3" w14:textId="77777777" w:rsidR="007E5BF0" w:rsidRPr="008B3E96" w:rsidRDefault="007E5BF0" w:rsidP="0044257C">
            <w:pPr>
              <w:widowControl w:val="0"/>
              <w:rPr>
                <w:bCs/>
                <w:sz w:val="17"/>
                <w:szCs w:val="17"/>
              </w:rPr>
            </w:pPr>
          </w:p>
          <w:p w14:paraId="5CF9D718" w14:textId="40D47236" w:rsidR="007E5BF0" w:rsidRPr="008B3E96" w:rsidRDefault="007E5BF0" w:rsidP="54FDEEE5">
            <w:pPr>
              <w:widowControl w:val="0"/>
              <w:rPr>
                <w:sz w:val="17"/>
                <w:szCs w:val="17"/>
              </w:rPr>
            </w:pPr>
            <w:r w:rsidRPr="54FDEEE5">
              <w:rPr>
                <w:sz w:val="17"/>
                <w:szCs w:val="17"/>
              </w:rPr>
              <w:t xml:space="preserve">Public Facility or Infrastructure Activities for Low/Moderate Income Housing Benefit: </w:t>
            </w:r>
            <w:r w:rsidR="0023706D">
              <w:rPr>
                <w:sz w:val="17"/>
                <w:szCs w:val="17"/>
              </w:rPr>
              <w:t xml:space="preserve">20 </w:t>
            </w:r>
            <w:r w:rsidRPr="54FDEEE5">
              <w:rPr>
                <w:sz w:val="17"/>
                <w:szCs w:val="17"/>
              </w:rPr>
              <w:t>Households Assisted</w:t>
            </w:r>
          </w:p>
        </w:tc>
      </w:tr>
      <w:tr w:rsidR="00840006" w:rsidRPr="001B22D2" w14:paraId="60C2D50F" w14:textId="77777777" w:rsidTr="4BD80007">
        <w:trPr>
          <w:cantSplit/>
          <w:trHeight w:val="251"/>
        </w:trPr>
        <w:tc>
          <w:tcPr>
            <w:tcW w:w="165" w:type="pct"/>
            <w:vMerge/>
            <w:vAlign w:val="center"/>
          </w:tcPr>
          <w:p w14:paraId="42E01F97" w14:textId="77777777" w:rsidR="007E5BF0" w:rsidRPr="001B22D2" w:rsidRDefault="007E5BF0" w:rsidP="0044257C">
            <w:pPr>
              <w:widowControl w:val="0"/>
              <w:rPr>
                <w:bCs/>
                <w:sz w:val="17"/>
                <w:szCs w:val="17"/>
              </w:rPr>
            </w:pPr>
          </w:p>
        </w:tc>
        <w:tc>
          <w:tcPr>
            <w:tcW w:w="681" w:type="pct"/>
            <w:vMerge/>
            <w:vAlign w:val="center"/>
          </w:tcPr>
          <w:p w14:paraId="2B28AF03" w14:textId="77777777" w:rsidR="007E5BF0" w:rsidRPr="001B22D2" w:rsidRDefault="007E5BF0" w:rsidP="0044257C">
            <w:pPr>
              <w:widowControl w:val="0"/>
              <w:jc w:val="center"/>
              <w:rPr>
                <w:b/>
                <w:sz w:val="17"/>
                <w:szCs w:val="17"/>
              </w:rPr>
            </w:pPr>
          </w:p>
        </w:tc>
        <w:tc>
          <w:tcPr>
            <w:tcW w:w="4155" w:type="pct"/>
            <w:gridSpan w:val="6"/>
            <w:tcBorders>
              <w:top w:val="single" w:sz="4" w:space="0" w:color="auto"/>
              <w:left w:val="single" w:sz="4" w:space="0" w:color="auto"/>
              <w:bottom w:val="single" w:sz="4" w:space="0" w:color="auto"/>
              <w:right w:val="single" w:sz="4" w:space="0" w:color="auto"/>
            </w:tcBorders>
            <w:vAlign w:val="center"/>
          </w:tcPr>
          <w:p w14:paraId="52CEC0AF" w14:textId="1109AAEB" w:rsidR="007E5BF0" w:rsidRPr="008B3E96" w:rsidRDefault="007E5BF0" w:rsidP="54FDEEE5">
            <w:pPr>
              <w:widowControl w:val="0"/>
              <w:rPr>
                <w:sz w:val="17"/>
                <w:szCs w:val="17"/>
              </w:rPr>
            </w:pPr>
            <w:r w:rsidRPr="77A3D6BC">
              <w:rPr>
                <w:sz w:val="17"/>
                <w:szCs w:val="17"/>
              </w:rPr>
              <w:t xml:space="preserve">Funding and outcome goals are Year </w:t>
            </w:r>
            <w:r w:rsidR="44BCD080" w:rsidRPr="77A3D6BC">
              <w:rPr>
                <w:sz w:val="17"/>
                <w:szCs w:val="17"/>
              </w:rPr>
              <w:t>5</w:t>
            </w:r>
            <w:r w:rsidRPr="77A3D6BC">
              <w:rPr>
                <w:sz w:val="17"/>
                <w:szCs w:val="17"/>
              </w:rPr>
              <w:t xml:space="preserve"> estimates. Montana will use CDBG resources to improve existing and construct new public water, wastewater, and storm drain infrastructure that primarily benefit low- and moderate-income persons. </w:t>
            </w:r>
          </w:p>
        </w:tc>
      </w:tr>
      <w:tr w:rsidR="00E14079" w:rsidRPr="001B22D2" w14:paraId="7CBA513A" w14:textId="77777777" w:rsidTr="4BD80007">
        <w:trPr>
          <w:cantSplit/>
          <w:trHeight w:val="251"/>
        </w:trPr>
        <w:tc>
          <w:tcPr>
            <w:tcW w:w="165" w:type="pct"/>
            <w:vMerge w:val="restart"/>
            <w:tcBorders>
              <w:top w:val="single" w:sz="4" w:space="0" w:color="auto"/>
              <w:left w:val="single" w:sz="4" w:space="0" w:color="auto"/>
              <w:right w:val="single" w:sz="4" w:space="0" w:color="auto"/>
            </w:tcBorders>
            <w:vAlign w:val="center"/>
          </w:tcPr>
          <w:p w14:paraId="2D749856" w14:textId="77777777" w:rsidR="007E5BF0" w:rsidRPr="001B22D2" w:rsidRDefault="007E5BF0" w:rsidP="0044257C">
            <w:pPr>
              <w:widowControl w:val="0"/>
              <w:rPr>
                <w:sz w:val="17"/>
                <w:szCs w:val="17"/>
              </w:rPr>
            </w:pPr>
            <w:r w:rsidRPr="001B22D2">
              <w:rPr>
                <w:sz w:val="17"/>
                <w:szCs w:val="17"/>
              </w:rPr>
              <w:t>4</w:t>
            </w:r>
          </w:p>
        </w:tc>
        <w:tc>
          <w:tcPr>
            <w:tcW w:w="681" w:type="pct"/>
            <w:vMerge w:val="restart"/>
            <w:tcBorders>
              <w:top w:val="single" w:sz="4" w:space="0" w:color="auto"/>
              <w:left w:val="single" w:sz="4" w:space="0" w:color="auto"/>
              <w:right w:val="single" w:sz="4" w:space="0" w:color="auto"/>
            </w:tcBorders>
            <w:vAlign w:val="center"/>
          </w:tcPr>
          <w:p w14:paraId="6D04E6B1" w14:textId="77777777" w:rsidR="007E5BF0" w:rsidRPr="001B22D2" w:rsidRDefault="007E5BF0" w:rsidP="0044257C">
            <w:pPr>
              <w:widowControl w:val="0"/>
              <w:rPr>
                <w:b/>
                <w:bCs/>
                <w:sz w:val="17"/>
                <w:szCs w:val="17"/>
              </w:rPr>
            </w:pPr>
            <w:r w:rsidRPr="001B22D2">
              <w:rPr>
                <w:b/>
                <w:bCs/>
                <w:sz w:val="17"/>
                <w:szCs w:val="17"/>
              </w:rPr>
              <w:t>Revitalize Local Economies</w:t>
            </w:r>
          </w:p>
        </w:tc>
        <w:tc>
          <w:tcPr>
            <w:tcW w:w="459" w:type="pct"/>
            <w:tcBorders>
              <w:top w:val="single" w:sz="4" w:space="0" w:color="auto"/>
              <w:left w:val="single" w:sz="4" w:space="0" w:color="auto"/>
              <w:bottom w:val="single" w:sz="4" w:space="0" w:color="auto"/>
              <w:right w:val="single" w:sz="4" w:space="0" w:color="auto"/>
            </w:tcBorders>
            <w:vAlign w:val="center"/>
          </w:tcPr>
          <w:p w14:paraId="70131121" w14:textId="3AEEB2E8" w:rsidR="007E5BF0" w:rsidRPr="001B22D2" w:rsidRDefault="007E5BF0" w:rsidP="0044257C">
            <w:pPr>
              <w:widowControl w:val="0"/>
              <w:jc w:val="center"/>
              <w:rPr>
                <w:bCs/>
                <w:sz w:val="17"/>
                <w:szCs w:val="17"/>
              </w:rPr>
            </w:pPr>
            <w:r w:rsidRPr="001B22D2">
              <w:rPr>
                <w:bCs/>
                <w:sz w:val="17"/>
                <w:szCs w:val="17"/>
              </w:rPr>
              <w:t>202</w:t>
            </w:r>
            <w:r w:rsidR="003A01DB">
              <w:rPr>
                <w:bCs/>
                <w:sz w:val="17"/>
                <w:szCs w:val="17"/>
              </w:rPr>
              <w:t>4</w:t>
            </w:r>
          </w:p>
          <w:p w14:paraId="26851082" w14:textId="77777777" w:rsidR="007E5BF0" w:rsidRPr="001B22D2" w:rsidRDefault="007E5BF0" w:rsidP="0044257C">
            <w:pPr>
              <w:widowControl w:val="0"/>
              <w:jc w:val="center"/>
              <w:rPr>
                <w:bCs/>
                <w:sz w:val="17"/>
                <w:szCs w:val="17"/>
              </w:rPr>
            </w:pPr>
            <w:r w:rsidRPr="001B22D2">
              <w:rPr>
                <w:bCs/>
                <w:sz w:val="17"/>
                <w:szCs w:val="17"/>
              </w:rPr>
              <w:t>(Apr 1)</w:t>
            </w:r>
          </w:p>
          <w:p w14:paraId="59D705E5" w14:textId="77777777" w:rsidR="007E5BF0" w:rsidRPr="001B22D2" w:rsidRDefault="007E5BF0" w:rsidP="0044257C">
            <w:pPr>
              <w:widowControl w:val="0"/>
              <w:jc w:val="center"/>
              <w:rPr>
                <w:bCs/>
                <w:sz w:val="17"/>
                <w:szCs w:val="17"/>
              </w:rPr>
            </w:pPr>
            <w:r w:rsidRPr="001B22D2">
              <w:rPr>
                <w:bCs/>
                <w:sz w:val="17"/>
                <w:szCs w:val="17"/>
              </w:rPr>
              <w:t>to</w:t>
            </w:r>
          </w:p>
          <w:p w14:paraId="290A04A6" w14:textId="72524C0D" w:rsidR="007E5BF0" w:rsidRPr="001B22D2" w:rsidRDefault="007E5BF0" w:rsidP="0044257C">
            <w:pPr>
              <w:widowControl w:val="0"/>
              <w:jc w:val="center"/>
              <w:rPr>
                <w:bCs/>
                <w:sz w:val="17"/>
                <w:szCs w:val="17"/>
              </w:rPr>
            </w:pPr>
            <w:r w:rsidRPr="001B22D2">
              <w:rPr>
                <w:bCs/>
                <w:sz w:val="17"/>
                <w:szCs w:val="17"/>
              </w:rPr>
              <w:t>202</w:t>
            </w:r>
            <w:r w:rsidR="003A01DB">
              <w:rPr>
                <w:bCs/>
                <w:sz w:val="17"/>
                <w:szCs w:val="17"/>
              </w:rPr>
              <w:t>5</w:t>
            </w:r>
          </w:p>
          <w:p w14:paraId="006121B6" w14:textId="77777777" w:rsidR="007E5BF0" w:rsidRPr="001B22D2" w:rsidRDefault="007E5BF0" w:rsidP="0044257C">
            <w:pPr>
              <w:widowControl w:val="0"/>
              <w:jc w:val="center"/>
              <w:rPr>
                <w:sz w:val="17"/>
                <w:szCs w:val="17"/>
              </w:rPr>
            </w:pPr>
            <w:r w:rsidRPr="001B22D2">
              <w:rPr>
                <w:bCs/>
                <w:sz w:val="17"/>
                <w:szCs w:val="17"/>
              </w:rPr>
              <w:t>(Mar 31)</w:t>
            </w:r>
          </w:p>
        </w:tc>
        <w:tc>
          <w:tcPr>
            <w:tcW w:w="645" w:type="pct"/>
            <w:tcBorders>
              <w:top w:val="single" w:sz="4" w:space="0" w:color="auto"/>
              <w:left w:val="single" w:sz="4" w:space="0" w:color="auto"/>
              <w:bottom w:val="single" w:sz="4" w:space="0" w:color="auto"/>
              <w:right w:val="single" w:sz="4" w:space="0" w:color="auto"/>
            </w:tcBorders>
            <w:vAlign w:val="center"/>
          </w:tcPr>
          <w:p w14:paraId="2956E895" w14:textId="77777777" w:rsidR="007E5BF0" w:rsidRPr="001B22D2" w:rsidRDefault="007E5BF0" w:rsidP="0044257C">
            <w:pPr>
              <w:widowControl w:val="0"/>
              <w:jc w:val="center"/>
              <w:rPr>
                <w:sz w:val="17"/>
                <w:szCs w:val="17"/>
              </w:rPr>
            </w:pPr>
            <w:r w:rsidRPr="001B22D2">
              <w:rPr>
                <w:sz w:val="17"/>
                <w:szCs w:val="17"/>
              </w:rPr>
              <w:t>Non-Housing Community Development</w:t>
            </w:r>
          </w:p>
        </w:tc>
        <w:tc>
          <w:tcPr>
            <w:tcW w:w="564" w:type="pct"/>
            <w:tcBorders>
              <w:top w:val="single" w:sz="4" w:space="0" w:color="auto"/>
              <w:left w:val="single" w:sz="4" w:space="0" w:color="auto"/>
              <w:bottom w:val="single" w:sz="4" w:space="0" w:color="auto"/>
              <w:right w:val="single" w:sz="4" w:space="0" w:color="auto"/>
            </w:tcBorders>
            <w:vAlign w:val="center"/>
          </w:tcPr>
          <w:p w14:paraId="06256F14" w14:textId="77777777" w:rsidR="007E5BF0" w:rsidRPr="001B22D2" w:rsidRDefault="007E5BF0" w:rsidP="0044257C">
            <w:pPr>
              <w:widowControl w:val="0"/>
              <w:jc w:val="center"/>
              <w:rPr>
                <w:sz w:val="17"/>
                <w:szCs w:val="17"/>
              </w:rPr>
            </w:pPr>
            <w:r w:rsidRPr="001B22D2">
              <w:rPr>
                <w:sz w:val="17"/>
                <w:szCs w:val="17"/>
              </w:rPr>
              <w:t>Statewide</w:t>
            </w:r>
          </w:p>
        </w:tc>
        <w:tc>
          <w:tcPr>
            <w:tcW w:w="671" w:type="pct"/>
            <w:tcBorders>
              <w:top w:val="single" w:sz="4" w:space="0" w:color="auto"/>
              <w:left w:val="single" w:sz="4" w:space="0" w:color="auto"/>
              <w:bottom w:val="single" w:sz="4" w:space="0" w:color="auto"/>
              <w:right w:val="single" w:sz="4" w:space="0" w:color="auto"/>
            </w:tcBorders>
            <w:vAlign w:val="center"/>
          </w:tcPr>
          <w:p w14:paraId="6523170C" w14:textId="77777777" w:rsidR="007E5BF0" w:rsidRPr="001B22D2" w:rsidRDefault="007E5BF0" w:rsidP="0044257C">
            <w:pPr>
              <w:widowControl w:val="0"/>
              <w:jc w:val="center"/>
              <w:rPr>
                <w:sz w:val="17"/>
                <w:szCs w:val="17"/>
              </w:rPr>
            </w:pPr>
            <w:r w:rsidRPr="001B22D2">
              <w:rPr>
                <w:sz w:val="17"/>
                <w:szCs w:val="17"/>
              </w:rPr>
              <w:t>Economic Revitalization</w:t>
            </w:r>
          </w:p>
        </w:tc>
        <w:tc>
          <w:tcPr>
            <w:tcW w:w="566" w:type="pct"/>
            <w:tcBorders>
              <w:top w:val="single" w:sz="4" w:space="0" w:color="auto"/>
              <w:left w:val="single" w:sz="4" w:space="0" w:color="auto"/>
              <w:bottom w:val="single" w:sz="4" w:space="0" w:color="auto"/>
              <w:right w:val="single" w:sz="4" w:space="0" w:color="auto"/>
            </w:tcBorders>
            <w:vAlign w:val="center"/>
          </w:tcPr>
          <w:p w14:paraId="49CF2726" w14:textId="5190496E" w:rsidR="007E5BF0" w:rsidRPr="001B22D2" w:rsidRDefault="007E5BF0" w:rsidP="002D5DE7">
            <w:pPr>
              <w:widowControl w:val="0"/>
              <w:jc w:val="center"/>
              <w:rPr>
                <w:sz w:val="17"/>
                <w:szCs w:val="17"/>
              </w:rPr>
            </w:pPr>
            <w:r w:rsidRPr="4BD80007">
              <w:rPr>
                <w:sz w:val="17"/>
                <w:szCs w:val="17"/>
              </w:rPr>
              <w:t xml:space="preserve">CDBG: </w:t>
            </w:r>
            <w:r w:rsidR="7DABB16F" w:rsidRPr="00317FFE">
              <w:rPr>
                <w:sz w:val="17"/>
                <w:szCs w:val="17"/>
              </w:rPr>
              <w:t>$1,050,000</w:t>
            </w:r>
          </w:p>
        </w:tc>
        <w:tc>
          <w:tcPr>
            <w:tcW w:w="1249" w:type="pct"/>
            <w:tcBorders>
              <w:top w:val="single" w:sz="4" w:space="0" w:color="auto"/>
              <w:left w:val="single" w:sz="4" w:space="0" w:color="auto"/>
              <w:bottom w:val="single" w:sz="4" w:space="0" w:color="auto"/>
              <w:right w:val="single" w:sz="4" w:space="0" w:color="auto"/>
            </w:tcBorders>
            <w:vAlign w:val="center"/>
          </w:tcPr>
          <w:p w14:paraId="2B1DC70E" w14:textId="4FE0CAAA" w:rsidR="007E5BF0" w:rsidRPr="008B3E96" w:rsidRDefault="007E5BF0" w:rsidP="394ECD05">
            <w:pPr>
              <w:widowControl w:val="0"/>
              <w:rPr>
                <w:sz w:val="17"/>
                <w:szCs w:val="17"/>
              </w:rPr>
            </w:pPr>
            <w:r w:rsidRPr="54FDEEE5">
              <w:rPr>
                <w:sz w:val="17"/>
                <w:szCs w:val="17"/>
              </w:rPr>
              <w:t xml:space="preserve">Jobs created/retained: </w:t>
            </w:r>
            <w:r w:rsidR="0B3621F6" w:rsidRPr="54FDEEE5" w:rsidDel="003A01DB">
              <w:rPr>
                <w:sz w:val="17"/>
                <w:szCs w:val="17"/>
              </w:rPr>
              <w:t xml:space="preserve"> </w:t>
            </w:r>
            <w:r w:rsidR="6F0C067F" w:rsidRPr="6C159AE9">
              <w:rPr>
                <w:sz w:val="17"/>
                <w:szCs w:val="17"/>
              </w:rPr>
              <w:t>30</w:t>
            </w:r>
            <w:r w:rsidR="0023706D">
              <w:rPr>
                <w:sz w:val="17"/>
                <w:szCs w:val="17"/>
              </w:rPr>
              <w:t xml:space="preserve"> </w:t>
            </w:r>
            <w:r w:rsidRPr="54FDEEE5">
              <w:rPr>
                <w:sz w:val="17"/>
                <w:szCs w:val="17"/>
              </w:rPr>
              <w:t>Jobs</w:t>
            </w:r>
          </w:p>
          <w:p w14:paraId="306A2D4B" w14:textId="77777777" w:rsidR="007E5BF0" w:rsidRPr="008B3E96" w:rsidRDefault="007E5BF0" w:rsidP="0044257C">
            <w:pPr>
              <w:widowControl w:val="0"/>
              <w:rPr>
                <w:bCs/>
                <w:sz w:val="17"/>
                <w:szCs w:val="17"/>
              </w:rPr>
            </w:pPr>
          </w:p>
          <w:p w14:paraId="74585B7A" w14:textId="263BABC7" w:rsidR="007E5BF0" w:rsidRPr="008B3E96" w:rsidRDefault="007E5BF0" w:rsidP="394ECD05">
            <w:pPr>
              <w:widowControl w:val="0"/>
              <w:rPr>
                <w:sz w:val="17"/>
                <w:szCs w:val="17"/>
              </w:rPr>
            </w:pPr>
            <w:r w:rsidRPr="30C7FF53">
              <w:rPr>
                <w:sz w:val="17"/>
                <w:szCs w:val="17"/>
              </w:rPr>
              <w:t xml:space="preserve">Businesses assisted: </w:t>
            </w:r>
            <w:r w:rsidR="66E7D882" w:rsidRPr="3566E264">
              <w:rPr>
                <w:sz w:val="17"/>
                <w:szCs w:val="17"/>
              </w:rPr>
              <w:t xml:space="preserve"> 2</w:t>
            </w:r>
          </w:p>
        </w:tc>
      </w:tr>
      <w:tr w:rsidR="00840006" w:rsidRPr="001B22D2" w14:paraId="7638BC31" w14:textId="77777777" w:rsidTr="4BD80007">
        <w:trPr>
          <w:cantSplit/>
          <w:trHeight w:val="251"/>
        </w:trPr>
        <w:tc>
          <w:tcPr>
            <w:tcW w:w="165" w:type="pct"/>
            <w:vMerge/>
            <w:vAlign w:val="center"/>
          </w:tcPr>
          <w:p w14:paraId="12CB0C4B" w14:textId="77777777" w:rsidR="007E5BF0" w:rsidRPr="001B22D2" w:rsidRDefault="007E5BF0" w:rsidP="0044257C">
            <w:pPr>
              <w:widowControl w:val="0"/>
              <w:rPr>
                <w:bCs/>
                <w:sz w:val="17"/>
                <w:szCs w:val="17"/>
              </w:rPr>
            </w:pPr>
          </w:p>
        </w:tc>
        <w:tc>
          <w:tcPr>
            <w:tcW w:w="681" w:type="pct"/>
            <w:vMerge/>
            <w:vAlign w:val="center"/>
          </w:tcPr>
          <w:p w14:paraId="12A35438" w14:textId="77777777" w:rsidR="007E5BF0" w:rsidRPr="001B22D2" w:rsidRDefault="007E5BF0" w:rsidP="0044257C">
            <w:pPr>
              <w:widowControl w:val="0"/>
              <w:jc w:val="center"/>
              <w:rPr>
                <w:b/>
                <w:sz w:val="17"/>
                <w:szCs w:val="17"/>
              </w:rPr>
            </w:pPr>
          </w:p>
        </w:tc>
        <w:tc>
          <w:tcPr>
            <w:tcW w:w="4155" w:type="pct"/>
            <w:gridSpan w:val="6"/>
            <w:tcBorders>
              <w:top w:val="single" w:sz="4" w:space="0" w:color="auto"/>
              <w:left w:val="single" w:sz="4" w:space="0" w:color="auto"/>
              <w:bottom w:val="single" w:sz="4" w:space="0" w:color="auto"/>
              <w:right w:val="single" w:sz="4" w:space="0" w:color="auto"/>
            </w:tcBorders>
            <w:vAlign w:val="center"/>
          </w:tcPr>
          <w:p w14:paraId="1EE299F3" w14:textId="762169CC" w:rsidR="007E5BF0" w:rsidRPr="008B3E96" w:rsidRDefault="007E5BF0" w:rsidP="54FDEEE5">
            <w:pPr>
              <w:widowControl w:val="0"/>
              <w:rPr>
                <w:sz w:val="17"/>
                <w:szCs w:val="17"/>
              </w:rPr>
            </w:pPr>
            <w:r w:rsidRPr="54FDEEE5">
              <w:rPr>
                <w:sz w:val="17"/>
                <w:szCs w:val="17"/>
              </w:rPr>
              <w:t xml:space="preserve">Funding and outcome goals are Year </w:t>
            </w:r>
            <w:r w:rsidR="003A01DB">
              <w:rPr>
                <w:sz w:val="17"/>
                <w:szCs w:val="17"/>
              </w:rPr>
              <w:t>5</w:t>
            </w:r>
            <w:r w:rsidR="003A01DB" w:rsidRPr="54FDEEE5">
              <w:rPr>
                <w:sz w:val="17"/>
                <w:szCs w:val="17"/>
              </w:rPr>
              <w:t xml:space="preserve"> </w:t>
            </w:r>
            <w:r w:rsidRPr="54FDEEE5">
              <w:rPr>
                <w:sz w:val="17"/>
                <w:szCs w:val="17"/>
              </w:rPr>
              <w:t xml:space="preserve">estimates. Montana will use CDBG resources to create jobs, expand businesses, and revitalize historic downtown business districts. A variety of activities will be funded that primarily benefit low- and moderate-income persons. </w:t>
            </w:r>
          </w:p>
        </w:tc>
      </w:tr>
      <w:tr w:rsidR="00E14079" w:rsidRPr="001B22D2" w14:paraId="7A502B32" w14:textId="77777777" w:rsidTr="4BD80007">
        <w:trPr>
          <w:cantSplit/>
          <w:trHeight w:val="251"/>
        </w:trPr>
        <w:tc>
          <w:tcPr>
            <w:tcW w:w="165" w:type="pct"/>
            <w:vMerge w:val="restart"/>
            <w:tcBorders>
              <w:top w:val="single" w:sz="4" w:space="0" w:color="auto"/>
              <w:left w:val="single" w:sz="4" w:space="0" w:color="auto"/>
              <w:right w:val="single" w:sz="4" w:space="0" w:color="auto"/>
            </w:tcBorders>
            <w:vAlign w:val="center"/>
          </w:tcPr>
          <w:p w14:paraId="4CA82BFD" w14:textId="77777777" w:rsidR="00D74942" w:rsidRDefault="00D74942" w:rsidP="0044257C">
            <w:pPr>
              <w:widowControl w:val="0"/>
              <w:rPr>
                <w:sz w:val="17"/>
                <w:szCs w:val="17"/>
              </w:rPr>
            </w:pPr>
          </w:p>
          <w:p w14:paraId="7998977D" w14:textId="6EB91003" w:rsidR="007E5BF0" w:rsidRPr="001B22D2" w:rsidRDefault="007E5BF0" w:rsidP="0044257C">
            <w:pPr>
              <w:widowControl w:val="0"/>
              <w:rPr>
                <w:sz w:val="17"/>
                <w:szCs w:val="17"/>
              </w:rPr>
            </w:pPr>
            <w:r w:rsidRPr="001B22D2">
              <w:rPr>
                <w:sz w:val="17"/>
                <w:szCs w:val="17"/>
              </w:rPr>
              <w:t>5</w:t>
            </w:r>
          </w:p>
        </w:tc>
        <w:tc>
          <w:tcPr>
            <w:tcW w:w="681" w:type="pct"/>
            <w:vMerge w:val="restart"/>
            <w:tcBorders>
              <w:top w:val="single" w:sz="4" w:space="0" w:color="auto"/>
              <w:left w:val="single" w:sz="4" w:space="0" w:color="auto"/>
              <w:right w:val="single" w:sz="4" w:space="0" w:color="auto"/>
            </w:tcBorders>
            <w:vAlign w:val="center"/>
          </w:tcPr>
          <w:p w14:paraId="6DF881A1" w14:textId="77777777" w:rsidR="007E5BF0" w:rsidRPr="001B22D2" w:rsidRDefault="007E5BF0" w:rsidP="0044257C">
            <w:pPr>
              <w:widowControl w:val="0"/>
              <w:rPr>
                <w:b/>
                <w:bCs/>
                <w:sz w:val="17"/>
                <w:szCs w:val="17"/>
              </w:rPr>
            </w:pPr>
            <w:r w:rsidRPr="001B22D2">
              <w:rPr>
                <w:b/>
                <w:bCs/>
                <w:sz w:val="17"/>
                <w:szCs w:val="17"/>
              </w:rPr>
              <w:t>Reduce Homelessness</w:t>
            </w:r>
          </w:p>
        </w:tc>
        <w:tc>
          <w:tcPr>
            <w:tcW w:w="459" w:type="pct"/>
            <w:tcBorders>
              <w:top w:val="single" w:sz="4" w:space="0" w:color="auto"/>
              <w:left w:val="single" w:sz="4" w:space="0" w:color="auto"/>
              <w:bottom w:val="single" w:sz="4" w:space="0" w:color="auto"/>
              <w:right w:val="single" w:sz="4" w:space="0" w:color="auto"/>
            </w:tcBorders>
            <w:vAlign w:val="center"/>
          </w:tcPr>
          <w:p w14:paraId="7191FAFE" w14:textId="7AE4A939" w:rsidR="007E5BF0" w:rsidRPr="001B22D2" w:rsidRDefault="007E5BF0" w:rsidP="0044257C">
            <w:pPr>
              <w:widowControl w:val="0"/>
              <w:jc w:val="center"/>
              <w:rPr>
                <w:bCs/>
                <w:sz w:val="17"/>
                <w:szCs w:val="17"/>
              </w:rPr>
            </w:pPr>
            <w:r w:rsidRPr="001B22D2">
              <w:rPr>
                <w:bCs/>
                <w:sz w:val="17"/>
                <w:szCs w:val="17"/>
              </w:rPr>
              <w:t>202</w:t>
            </w:r>
            <w:r w:rsidR="003A01DB">
              <w:rPr>
                <w:bCs/>
                <w:sz w:val="17"/>
                <w:szCs w:val="17"/>
              </w:rPr>
              <w:t>4</w:t>
            </w:r>
          </w:p>
          <w:p w14:paraId="0856C5B5" w14:textId="77777777" w:rsidR="007E5BF0" w:rsidRPr="001B22D2" w:rsidRDefault="007E5BF0" w:rsidP="0044257C">
            <w:pPr>
              <w:widowControl w:val="0"/>
              <w:jc w:val="center"/>
              <w:rPr>
                <w:bCs/>
                <w:sz w:val="17"/>
                <w:szCs w:val="17"/>
              </w:rPr>
            </w:pPr>
            <w:r w:rsidRPr="001B22D2">
              <w:rPr>
                <w:bCs/>
                <w:sz w:val="17"/>
                <w:szCs w:val="17"/>
              </w:rPr>
              <w:t>(Apr 1)</w:t>
            </w:r>
          </w:p>
          <w:p w14:paraId="03EB65BB" w14:textId="77777777" w:rsidR="007E5BF0" w:rsidRPr="001B22D2" w:rsidRDefault="007E5BF0" w:rsidP="0044257C">
            <w:pPr>
              <w:widowControl w:val="0"/>
              <w:jc w:val="center"/>
              <w:rPr>
                <w:bCs/>
                <w:sz w:val="17"/>
                <w:szCs w:val="17"/>
              </w:rPr>
            </w:pPr>
            <w:r w:rsidRPr="001B22D2">
              <w:rPr>
                <w:bCs/>
                <w:sz w:val="17"/>
                <w:szCs w:val="17"/>
              </w:rPr>
              <w:t>to</w:t>
            </w:r>
          </w:p>
          <w:p w14:paraId="78AA7A84" w14:textId="313CE220" w:rsidR="007E5BF0" w:rsidRPr="001B22D2" w:rsidRDefault="007E5BF0" w:rsidP="0044257C">
            <w:pPr>
              <w:widowControl w:val="0"/>
              <w:jc w:val="center"/>
              <w:rPr>
                <w:bCs/>
                <w:sz w:val="17"/>
                <w:szCs w:val="17"/>
              </w:rPr>
            </w:pPr>
            <w:r w:rsidRPr="001B22D2">
              <w:rPr>
                <w:bCs/>
                <w:sz w:val="17"/>
                <w:szCs w:val="17"/>
              </w:rPr>
              <w:t>202</w:t>
            </w:r>
            <w:r w:rsidR="003A01DB">
              <w:rPr>
                <w:bCs/>
                <w:sz w:val="17"/>
                <w:szCs w:val="17"/>
              </w:rPr>
              <w:t>5</w:t>
            </w:r>
          </w:p>
          <w:p w14:paraId="3F2B1403" w14:textId="77777777" w:rsidR="007E5BF0" w:rsidRPr="001B22D2" w:rsidRDefault="007E5BF0" w:rsidP="0044257C">
            <w:pPr>
              <w:widowControl w:val="0"/>
              <w:jc w:val="center"/>
              <w:rPr>
                <w:sz w:val="17"/>
                <w:szCs w:val="17"/>
              </w:rPr>
            </w:pPr>
            <w:r w:rsidRPr="001B22D2">
              <w:rPr>
                <w:bCs/>
                <w:sz w:val="17"/>
                <w:szCs w:val="17"/>
              </w:rPr>
              <w:t>(Mar 31)</w:t>
            </w:r>
          </w:p>
        </w:tc>
        <w:tc>
          <w:tcPr>
            <w:tcW w:w="645" w:type="pct"/>
            <w:tcBorders>
              <w:top w:val="single" w:sz="4" w:space="0" w:color="auto"/>
              <w:left w:val="single" w:sz="4" w:space="0" w:color="auto"/>
              <w:bottom w:val="single" w:sz="4" w:space="0" w:color="auto"/>
              <w:right w:val="single" w:sz="4" w:space="0" w:color="auto"/>
            </w:tcBorders>
            <w:vAlign w:val="center"/>
          </w:tcPr>
          <w:p w14:paraId="72AB8CE1" w14:textId="77777777" w:rsidR="007E5BF0" w:rsidRPr="001B22D2" w:rsidRDefault="007E5BF0" w:rsidP="0044257C">
            <w:pPr>
              <w:widowControl w:val="0"/>
              <w:jc w:val="center"/>
              <w:rPr>
                <w:sz w:val="17"/>
                <w:szCs w:val="17"/>
              </w:rPr>
            </w:pPr>
            <w:r w:rsidRPr="001B22D2">
              <w:rPr>
                <w:sz w:val="17"/>
                <w:szCs w:val="17"/>
              </w:rPr>
              <w:t>Homeless</w:t>
            </w:r>
          </w:p>
        </w:tc>
        <w:tc>
          <w:tcPr>
            <w:tcW w:w="564" w:type="pct"/>
            <w:tcBorders>
              <w:top w:val="single" w:sz="4" w:space="0" w:color="auto"/>
              <w:left w:val="single" w:sz="4" w:space="0" w:color="auto"/>
              <w:bottom w:val="single" w:sz="4" w:space="0" w:color="auto"/>
              <w:right w:val="single" w:sz="4" w:space="0" w:color="auto"/>
            </w:tcBorders>
            <w:vAlign w:val="center"/>
          </w:tcPr>
          <w:p w14:paraId="3A48931E" w14:textId="77777777" w:rsidR="007E5BF0" w:rsidRPr="001B22D2" w:rsidRDefault="007E5BF0" w:rsidP="0044257C">
            <w:pPr>
              <w:widowControl w:val="0"/>
              <w:jc w:val="center"/>
              <w:rPr>
                <w:sz w:val="17"/>
                <w:szCs w:val="17"/>
              </w:rPr>
            </w:pPr>
            <w:r w:rsidRPr="001B22D2">
              <w:rPr>
                <w:sz w:val="17"/>
                <w:szCs w:val="17"/>
              </w:rPr>
              <w:t>Statewide</w:t>
            </w:r>
          </w:p>
        </w:tc>
        <w:tc>
          <w:tcPr>
            <w:tcW w:w="671" w:type="pct"/>
            <w:tcBorders>
              <w:top w:val="single" w:sz="4" w:space="0" w:color="auto"/>
              <w:left w:val="single" w:sz="4" w:space="0" w:color="auto"/>
              <w:bottom w:val="single" w:sz="4" w:space="0" w:color="auto"/>
              <w:right w:val="single" w:sz="4" w:space="0" w:color="auto"/>
            </w:tcBorders>
            <w:vAlign w:val="center"/>
          </w:tcPr>
          <w:p w14:paraId="0D40B7A6" w14:textId="77777777" w:rsidR="007E5BF0" w:rsidRPr="001B22D2" w:rsidRDefault="1664CBFB" w:rsidP="0044257C">
            <w:pPr>
              <w:widowControl w:val="0"/>
              <w:jc w:val="center"/>
              <w:rPr>
                <w:sz w:val="17"/>
                <w:szCs w:val="17"/>
              </w:rPr>
            </w:pPr>
            <w:r w:rsidRPr="6EE14823">
              <w:rPr>
                <w:sz w:val="17"/>
                <w:szCs w:val="17"/>
              </w:rPr>
              <w:t>Reducing Homelessness</w:t>
            </w:r>
          </w:p>
        </w:tc>
        <w:tc>
          <w:tcPr>
            <w:tcW w:w="566" w:type="pct"/>
            <w:tcBorders>
              <w:top w:val="single" w:sz="4" w:space="0" w:color="auto"/>
              <w:left w:val="single" w:sz="4" w:space="0" w:color="auto"/>
              <w:bottom w:val="single" w:sz="4" w:space="0" w:color="auto"/>
              <w:right w:val="single" w:sz="4" w:space="0" w:color="auto"/>
            </w:tcBorders>
            <w:vAlign w:val="center"/>
          </w:tcPr>
          <w:p w14:paraId="06D2154E" w14:textId="11865CE7" w:rsidR="007E5BF0" w:rsidRPr="001B22D2" w:rsidRDefault="1664CBFB" w:rsidP="00F1529B">
            <w:pPr>
              <w:widowControl w:val="0"/>
              <w:jc w:val="center"/>
              <w:rPr>
                <w:sz w:val="17"/>
                <w:szCs w:val="17"/>
              </w:rPr>
            </w:pPr>
            <w:r w:rsidRPr="4BD80007">
              <w:rPr>
                <w:sz w:val="17"/>
                <w:szCs w:val="17"/>
              </w:rPr>
              <w:t xml:space="preserve">CDBG: </w:t>
            </w:r>
            <w:r w:rsidR="61544A3D" w:rsidRPr="00840006">
              <w:rPr>
                <w:sz w:val="17"/>
                <w:szCs w:val="17"/>
              </w:rPr>
              <w:t>$</w:t>
            </w:r>
            <w:r w:rsidR="2338AD1B" w:rsidRPr="00840006">
              <w:rPr>
                <w:sz w:val="17"/>
                <w:szCs w:val="17"/>
              </w:rPr>
              <w:t>500,000</w:t>
            </w:r>
          </w:p>
          <w:p w14:paraId="419B0726" w14:textId="3D61FD51" w:rsidR="007E5BF0" w:rsidRPr="001B22D2" w:rsidRDefault="007E5BF0" w:rsidP="30C7FF53">
            <w:pPr>
              <w:widowControl w:val="0"/>
              <w:jc w:val="center"/>
              <w:rPr>
                <w:sz w:val="17"/>
                <w:szCs w:val="17"/>
              </w:rPr>
            </w:pPr>
          </w:p>
          <w:p w14:paraId="736E0914" w14:textId="1F484636" w:rsidR="007E5BF0" w:rsidRPr="006943E6" w:rsidRDefault="1664CBFB" w:rsidP="4BD80007">
            <w:pPr>
              <w:widowControl w:val="0"/>
              <w:jc w:val="center"/>
              <w:rPr>
                <w:sz w:val="17"/>
                <w:szCs w:val="17"/>
              </w:rPr>
            </w:pPr>
            <w:r w:rsidRPr="006943E6">
              <w:rPr>
                <w:sz w:val="17"/>
                <w:szCs w:val="17"/>
              </w:rPr>
              <w:t>ESG:</w:t>
            </w:r>
            <w:r w:rsidRPr="4BD80007">
              <w:rPr>
                <w:sz w:val="17"/>
                <w:szCs w:val="17"/>
              </w:rPr>
              <w:t xml:space="preserve"> </w:t>
            </w:r>
            <w:r w:rsidR="006943E6">
              <w:rPr>
                <w:sz w:val="17"/>
                <w:szCs w:val="17"/>
              </w:rPr>
              <w:t>$744,418</w:t>
            </w:r>
          </w:p>
          <w:p w14:paraId="3090A5AC" w14:textId="0A83C4C2" w:rsidR="24F41224" w:rsidRDefault="24F41224" w:rsidP="24F41224">
            <w:pPr>
              <w:widowControl w:val="0"/>
              <w:jc w:val="center"/>
              <w:rPr>
                <w:sz w:val="17"/>
                <w:szCs w:val="17"/>
              </w:rPr>
            </w:pPr>
          </w:p>
          <w:p w14:paraId="644E474A" w14:textId="3A188ECF" w:rsidR="007E5BF0" w:rsidRPr="001B22D2" w:rsidRDefault="1664CBFB" w:rsidP="0044257C">
            <w:pPr>
              <w:widowControl w:val="0"/>
              <w:jc w:val="center"/>
              <w:rPr>
                <w:sz w:val="17"/>
                <w:szCs w:val="17"/>
              </w:rPr>
            </w:pPr>
            <w:r>
              <w:rPr>
                <w:sz w:val="17"/>
                <w:szCs w:val="17"/>
              </w:rPr>
              <w:t xml:space="preserve">HTF: </w:t>
            </w:r>
            <w:r w:rsidR="4C066BD0" w:rsidRPr="002F4A22" w:rsidDel="003A01DB">
              <w:rPr>
                <w:sz w:val="17"/>
                <w:szCs w:val="17"/>
              </w:rPr>
              <w:t>$750,000</w:t>
            </w:r>
            <w:r w:rsidR="001F7F8B" w:rsidRPr="002F4A22">
              <w:rPr>
                <w:sz w:val="17"/>
                <w:szCs w:val="17"/>
              </w:rPr>
              <w:t>.37</w:t>
            </w:r>
          </w:p>
        </w:tc>
        <w:tc>
          <w:tcPr>
            <w:tcW w:w="1249" w:type="pct"/>
            <w:tcBorders>
              <w:top w:val="single" w:sz="4" w:space="0" w:color="auto"/>
              <w:left w:val="single" w:sz="4" w:space="0" w:color="auto"/>
              <w:bottom w:val="single" w:sz="4" w:space="0" w:color="auto"/>
              <w:right w:val="single" w:sz="4" w:space="0" w:color="auto"/>
            </w:tcBorders>
            <w:vAlign w:val="center"/>
          </w:tcPr>
          <w:p w14:paraId="2A11BFFF" w14:textId="60EC6F3A" w:rsidR="007E5BF0" w:rsidRPr="008B3E96" w:rsidRDefault="007E5BF0" w:rsidP="2F69EFA0">
            <w:pPr>
              <w:widowControl w:val="0"/>
              <w:rPr>
                <w:sz w:val="17"/>
                <w:szCs w:val="17"/>
              </w:rPr>
            </w:pPr>
            <w:r w:rsidRPr="6BAB5C2E">
              <w:rPr>
                <w:sz w:val="17"/>
                <w:szCs w:val="17"/>
              </w:rPr>
              <w:t xml:space="preserve">Rapid Rehousing: </w:t>
            </w:r>
            <w:r w:rsidR="627ACC92" w:rsidRPr="280FFC52">
              <w:rPr>
                <w:sz w:val="17"/>
                <w:szCs w:val="17"/>
              </w:rPr>
              <w:t xml:space="preserve">100 </w:t>
            </w:r>
            <w:r w:rsidRPr="6BAB5C2E">
              <w:rPr>
                <w:sz w:val="17"/>
                <w:szCs w:val="17"/>
              </w:rPr>
              <w:t>Households Assisted</w:t>
            </w:r>
          </w:p>
          <w:p w14:paraId="05FF5283" w14:textId="77777777" w:rsidR="007E5BF0" w:rsidRPr="008B3E96" w:rsidRDefault="007E5BF0" w:rsidP="0044257C">
            <w:pPr>
              <w:widowControl w:val="0"/>
              <w:rPr>
                <w:bCs/>
                <w:sz w:val="17"/>
                <w:szCs w:val="17"/>
              </w:rPr>
            </w:pPr>
          </w:p>
          <w:p w14:paraId="2F0D19E6" w14:textId="74DD0AA5" w:rsidR="007E5BF0" w:rsidRPr="008B3E96" w:rsidRDefault="1664CBFB" w:rsidP="2F69EFA0">
            <w:pPr>
              <w:widowControl w:val="0"/>
              <w:rPr>
                <w:sz w:val="17"/>
                <w:szCs w:val="17"/>
              </w:rPr>
            </w:pPr>
            <w:r w:rsidRPr="4BD80007">
              <w:rPr>
                <w:sz w:val="17"/>
                <w:szCs w:val="17"/>
              </w:rPr>
              <w:t>Homeless Person Overnight Shelter: Persons Assisted</w:t>
            </w:r>
            <w:r w:rsidR="17A51F13" w:rsidRPr="4BD80007">
              <w:rPr>
                <w:sz w:val="17"/>
                <w:szCs w:val="17"/>
              </w:rPr>
              <w:t>:</w:t>
            </w:r>
            <w:r w:rsidR="0F86F8C8" w:rsidRPr="4BD80007">
              <w:rPr>
                <w:sz w:val="17"/>
                <w:szCs w:val="17"/>
              </w:rPr>
              <w:t xml:space="preserve"> </w:t>
            </w:r>
            <w:r w:rsidR="2D6C256E" w:rsidRPr="4BD80007">
              <w:rPr>
                <w:sz w:val="17"/>
                <w:szCs w:val="17"/>
              </w:rPr>
              <w:t xml:space="preserve">60 </w:t>
            </w:r>
          </w:p>
          <w:p w14:paraId="052580F2" w14:textId="77777777" w:rsidR="007E5BF0" w:rsidRPr="008B3E96" w:rsidRDefault="007E5BF0" w:rsidP="0044257C">
            <w:pPr>
              <w:widowControl w:val="0"/>
              <w:rPr>
                <w:bCs/>
                <w:sz w:val="17"/>
                <w:szCs w:val="17"/>
              </w:rPr>
            </w:pPr>
          </w:p>
          <w:p w14:paraId="0AD0761F" w14:textId="03CE9AF0" w:rsidR="007E5BF0" w:rsidRPr="008B3E96" w:rsidRDefault="007E5BF0" w:rsidP="0AF95A31">
            <w:pPr>
              <w:widowControl w:val="0"/>
              <w:rPr>
                <w:sz w:val="17"/>
                <w:szCs w:val="17"/>
              </w:rPr>
            </w:pPr>
            <w:r w:rsidRPr="4BD80007">
              <w:rPr>
                <w:sz w:val="17"/>
                <w:szCs w:val="17"/>
              </w:rPr>
              <w:t xml:space="preserve">Housing for Homeless added: </w:t>
            </w:r>
            <w:r w:rsidR="450AECCA" w:rsidRPr="4BD80007">
              <w:rPr>
                <w:sz w:val="17"/>
                <w:szCs w:val="17"/>
              </w:rPr>
              <w:t xml:space="preserve">10 </w:t>
            </w:r>
            <w:r w:rsidRPr="4BD80007">
              <w:rPr>
                <w:sz w:val="17"/>
                <w:szCs w:val="17"/>
              </w:rPr>
              <w:t>Household/Housing Units</w:t>
            </w:r>
          </w:p>
        </w:tc>
      </w:tr>
      <w:tr w:rsidR="00840006" w:rsidRPr="001B22D2" w14:paraId="33385B0C" w14:textId="77777777" w:rsidTr="4BD80007">
        <w:trPr>
          <w:cantSplit/>
          <w:trHeight w:val="251"/>
        </w:trPr>
        <w:tc>
          <w:tcPr>
            <w:tcW w:w="165" w:type="pct"/>
            <w:vMerge/>
            <w:vAlign w:val="center"/>
          </w:tcPr>
          <w:p w14:paraId="7096163F" w14:textId="77777777" w:rsidR="007E5BF0" w:rsidRPr="001B22D2" w:rsidRDefault="007E5BF0" w:rsidP="0044257C">
            <w:pPr>
              <w:widowControl w:val="0"/>
              <w:rPr>
                <w:bCs/>
                <w:sz w:val="17"/>
                <w:szCs w:val="17"/>
              </w:rPr>
            </w:pPr>
          </w:p>
        </w:tc>
        <w:tc>
          <w:tcPr>
            <w:tcW w:w="681" w:type="pct"/>
            <w:vMerge/>
            <w:vAlign w:val="center"/>
          </w:tcPr>
          <w:p w14:paraId="48E05D1B" w14:textId="77777777" w:rsidR="007E5BF0" w:rsidRPr="001B22D2" w:rsidRDefault="007E5BF0" w:rsidP="0044257C">
            <w:pPr>
              <w:widowControl w:val="0"/>
              <w:jc w:val="center"/>
              <w:rPr>
                <w:b/>
                <w:sz w:val="17"/>
                <w:szCs w:val="17"/>
              </w:rPr>
            </w:pPr>
          </w:p>
        </w:tc>
        <w:tc>
          <w:tcPr>
            <w:tcW w:w="4155" w:type="pct"/>
            <w:gridSpan w:val="6"/>
            <w:tcBorders>
              <w:top w:val="single" w:sz="4" w:space="0" w:color="auto"/>
              <w:left w:val="single" w:sz="4" w:space="0" w:color="auto"/>
              <w:bottom w:val="single" w:sz="4" w:space="0" w:color="auto"/>
              <w:right w:val="single" w:sz="4" w:space="0" w:color="auto"/>
            </w:tcBorders>
            <w:vAlign w:val="center"/>
          </w:tcPr>
          <w:p w14:paraId="6260B623" w14:textId="5EA7AFBF" w:rsidR="007E5BF0" w:rsidRPr="001B22D2" w:rsidRDefault="007E5BF0" w:rsidP="54FDEEE5">
            <w:pPr>
              <w:widowControl w:val="0"/>
              <w:rPr>
                <w:sz w:val="17"/>
                <w:szCs w:val="17"/>
              </w:rPr>
            </w:pPr>
            <w:r w:rsidRPr="54FDEEE5">
              <w:rPr>
                <w:sz w:val="17"/>
                <w:szCs w:val="17"/>
              </w:rPr>
              <w:t xml:space="preserve">Funding and outcome goals are Year </w:t>
            </w:r>
            <w:r w:rsidR="003A01DB">
              <w:rPr>
                <w:sz w:val="17"/>
                <w:szCs w:val="17"/>
              </w:rPr>
              <w:t>5</w:t>
            </w:r>
            <w:r w:rsidR="003A01DB" w:rsidRPr="54FDEEE5">
              <w:rPr>
                <w:sz w:val="17"/>
                <w:szCs w:val="17"/>
              </w:rPr>
              <w:t xml:space="preserve"> </w:t>
            </w:r>
            <w:r w:rsidRPr="54FDEEE5">
              <w:rPr>
                <w:sz w:val="17"/>
                <w:szCs w:val="17"/>
              </w:rPr>
              <w:t xml:space="preserve">estimates. Montana will use CDBG, HOME, HTF, and ESG resources to provide permanent housing, shelter, and services for homeless persons and persons at risk of homelessness. Activities may include construction or rehabilitation of housing or shelters, and direct assistance to serve this clientele throughout the state. </w:t>
            </w:r>
          </w:p>
        </w:tc>
      </w:tr>
    </w:tbl>
    <w:p w14:paraId="14099847" w14:textId="77777777" w:rsidR="007E5BF0" w:rsidRDefault="007E5BF0" w:rsidP="007E5BF0"/>
    <w:p w14:paraId="4F23A91E" w14:textId="3534EADF" w:rsidR="007E5BF0" w:rsidRDefault="1664CBFB" w:rsidP="007E5BF0">
      <w:pPr>
        <w:pStyle w:val="Heading3"/>
      </w:pPr>
      <w:r>
        <w:t>Goal Descriptions</w:t>
      </w:r>
    </w:p>
    <w:p w14:paraId="5941AEEC" w14:textId="281A94F3" w:rsidR="007E5BF0" w:rsidRDefault="15D4CFDC" w:rsidP="54FDEEE5">
      <w:pPr>
        <w:rPr>
          <w:rFonts w:ascii="Calibri" w:eastAsia="Calibri" w:hAnsi="Calibri" w:cs="Calibri"/>
        </w:rPr>
      </w:pPr>
      <w:r>
        <w:t xml:space="preserve">HOME will specifically provide funds to assist extremely low-income, very low-income, and low-income families (as listed in </w:t>
      </w:r>
      <w:r w:rsidRPr="4BD80007">
        <w:rPr>
          <w:b/>
          <w:bCs/>
        </w:rPr>
        <w:t xml:space="preserve">Table </w:t>
      </w:r>
      <w:r w:rsidR="32C58FD5" w:rsidRPr="4BD80007">
        <w:rPr>
          <w:b/>
          <w:bCs/>
        </w:rPr>
        <w:t>6</w:t>
      </w:r>
      <w:r>
        <w:t xml:space="preserve">). HOME funds will be </w:t>
      </w:r>
      <w:r w:rsidR="00F363F0">
        <w:t>used to</w:t>
      </w:r>
      <w:r>
        <w:t xml:space="preserve"> assist with providing </w:t>
      </w:r>
      <w:r w:rsidR="084AB91B">
        <w:t>20</w:t>
      </w:r>
      <w:r w:rsidR="1275A712">
        <w:t xml:space="preserve"> </w:t>
      </w:r>
      <w:r>
        <w:t>households access to new or rehabilitated rental units</w:t>
      </w:r>
      <w:r w:rsidR="09D7E010">
        <w:t xml:space="preserve"> and</w:t>
      </w:r>
      <w:r>
        <w:t xml:space="preserve"> providing</w:t>
      </w:r>
      <w:r w:rsidR="16930037">
        <w:t xml:space="preserve"> </w:t>
      </w:r>
      <w:r w:rsidR="3F891F0C">
        <w:t>12</w:t>
      </w:r>
      <w:r w:rsidR="16930037">
        <w:t xml:space="preserve"> </w:t>
      </w:r>
      <w:r>
        <w:t>households opportunities for homeownership</w:t>
      </w:r>
      <w:r w:rsidR="55603B78">
        <w:t xml:space="preserve">. </w:t>
      </w:r>
      <w:r w:rsidR="18BCFD72">
        <w:t xml:space="preserve">For Plan Year </w:t>
      </w:r>
      <w:r w:rsidR="6C496F80">
        <w:t>5</w:t>
      </w:r>
      <w:r w:rsidR="18BCFD72">
        <w:t>, t</w:t>
      </w:r>
      <w:r w:rsidR="55603B78" w:rsidRPr="4BD80007">
        <w:rPr>
          <w:rFonts w:ascii="Calibri" w:eastAsia="Calibri" w:hAnsi="Calibri" w:cs="Calibri"/>
        </w:rPr>
        <w:t xml:space="preserve">he State of Montana </w:t>
      </w:r>
      <w:r w:rsidR="5CAE2217" w:rsidRPr="4BD80007">
        <w:rPr>
          <w:rFonts w:ascii="Calibri" w:eastAsia="Calibri" w:hAnsi="Calibri" w:cs="Calibri"/>
        </w:rPr>
        <w:t xml:space="preserve">does </w:t>
      </w:r>
      <w:r w:rsidR="55603B78" w:rsidRPr="4BD80007">
        <w:rPr>
          <w:rFonts w:ascii="Calibri" w:eastAsia="Calibri" w:hAnsi="Calibri" w:cs="Calibri"/>
        </w:rPr>
        <w:t xml:space="preserve">not </w:t>
      </w:r>
      <w:r w:rsidR="6E5581A4" w:rsidRPr="4BD80007">
        <w:rPr>
          <w:rFonts w:ascii="Calibri" w:eastAsia="Calibri" w:hAnsi="Calibri" w:cs="Calibri"/>
        </w:rPr>
        <w:t>anticipate using</w:t>
      </w:r>
      <w:r w:rsidR="6A486C1D" w:rsidRPr="4BD80007">
        <w:rPr>
          <w:rFonts w:ascii="Calibri" w:eastAsia="Calibri" w:hAnsi="Calibri" w:cs="Calibri"/>
        </w:rPr>
        <w:t xml:space="preserve"> </w:t>
      </w:r>
      <w:r w:rsidR="55603B78" w:rsidRPr="4BD80007">
        <w:rPr>
          <w:rFonts w:ascii="Calibri" w:eastAsia="Calibri" w:hAnsi="Calibri" w:cs="Calibri"/>
        </w:rPr>
        <w:t xml:space="preserve">HOME funds to </w:t>
      </w:r>
      <w:r w:rsidR="2B728CAC" w:rsidRPr="4BD80007">
        <w:rPr>
          <w:rFonts w:ascii="Calibri" w:eastAsia="Calibri" w:hAnsi="Calibri" w:cs="Calibri"/>
        </w:rPr>
        <w:t xml:space="preserve">address </w:t>
      </w:r>
      <w:r w:rsidR="55603B78" w:rsidRPr="4BD80007">
        <w:rPr>
          <w:rFonts w:ascii="Calibri" w:eastAsia="Calibri" w:hAnsi="Calibri" w:cs="Calibri"/>
        </w:rPr>
        <w:t xml:space="preserve">homelessness due to the availability of HOME-ARP funds and </w:t>
      </w:r>
      <w:r w:rsidR="3D5DFDBC" w:rsidRPr="4BD80007">
        <w:rPr>
          <w:rFonts w:ascii="Calibri" w:eastAsia="Calibri" w:hAnsi="Calibri" w:cs="Calibri"/>
        </w:rPr>
        <w:t>a one-time only</w:t>
      </w:r>
      <w:r w:rsidR="55603B78" w:rsidRPr="4BD80007">
        <w:rPr>
          <w:rFonts w:ascii="Calibri" w:eastAsia="Calibri" w:hAnsi="Calibri" w:cs="Calibri"/>
        </w:rPr>
        <w:t xml:space="preserve"> </w:t>
      </w:r>
      <w:r w:rsidR="22E88475" w:rsidRPr="4BD80007">
        <w:rPr>
          <w:rFonts w:ascii="Calibri" w:eastAsia="Calibri" w:hAnsi="Calibri" w:cs="Calibri"/>
        </w:rPr>
        <w:t xml:space="preserve">$5 million </w:t>
      </w:r>
      <w:r w:rsidR="55603B78" w:rsidRPr="4BD80007">
        <w:rPr>
          <w:rFonts w:ascii="Calibri" w:eastAsia="Calibri" w:hAnsi="Calibri" w:cs="Calibri"/>
        </w:rPr>
        <w:t>state-appropriat</w:t>
      </w:r>
      <w:r w:rsidR="6740767C" w:rsidRPr="4BD80007">
        <w:rPr>
          <w:rFonts w:ascii="Calibri" w:eastAsia="Calibri" w:hAnsi="Calibri" w:cs="Calibri"/>
        </w:rPr>
        <w:t xml:space="preserve">ion </w:t>
      </w:r>
      <w:r w:rsidR="1CC6E15D" w:rsidRPr="4BD80007">
        <w:rPr>
          <w:rFonts w:ascii="Calibri" w:eastAsia="Calibri" w:hAnsi="Calibri" w:cs="Calibri"/>
        </w:rPr>
        <w:t>to fund Montana’s new</w:t>
      </w:r>
      <w:r w:rsidR="55603B78" w:rsidRPr="4BD80007">
        <w:rPr>
          <w:rFonts w:ascii="Calibri" w:eastAsia="Calibri" w:hAnsi="Calibri" w:cs="Calibri"/>
        </w:rPr>
        <w:t xml:space="preserve"> Emergency Shelter </w:t>
      </w:r>
      <w:r w:rsidR="4673C848" w:rsidRPr="4BD80007">
        <w:rPr>
          <w:rFonts w:ascii="Calibri" w:eastAsia="Calibri" w:hAnsi="Calibri" w:cs="Calibri"/>
        </w:rPr>
        <w:t>Facility Grant</w:t>
      </w:r>
      <w:r w:rsidR="55603B78" w:rsidRPr="4BD80007">
        <w:rPr>
          <w:rFonts w:ascii="Calibri" w:eastAsia="Calibri" w:hAnsi="Calibri" w:cs="Calibri"/>
        </w:rPr>
        <w:t xml:space="preserve"> Program</w:t>
      </w:r>
      <w:r w:rsidR="2F94A1B3" w:rsidRPr="4BD80007">
        <w:rPr>
          <w:rFonts w:ascii="Calibri" w:eastAsia="Calibri" w:hAnsi="Calibri" w:cs="Calibri"/>
        </w:rPr>
        <w:t>.</w:t>
      </w:r>
      <w:r w:rsidR="50447FD0" w:rsidRPr="4BD80007">
        <w:rPr>
          <w:rFonts w:ascii="Calibri" w:eastAsia="Calibri" w:hAnsi="Calibri" w:cs="Calibri"/>
        </w:rPr>
        <w:t xml:space="preserve"> </w:t>
      </w:r>
      <w:r w:rsidR="1EE6EAB3" w:rsidRPr="4BD80007">
        <w:rPr>
          <w:rFonts w:ascii="Calibri" w:eastAsia="Calibri" w:hAnsi="Calibri" w:cs="Calibri"/>
        </w:rPr>
        <w:t>Together, these</w:t>
      </w:r>
      <w:r w:rsidR="50447FD0" w:rsidRPr="4BD80007">
        <w:rPr>
          <w:rFonts w:ascii="Calibri" w:eastAsia="Calibri" w:hAnsi="Calibri" w:cs="Calibri"/>
        </w:rPr>
        <w:t xml:space="preserve"> resource</w:t>
      </w:r>
      <w:r w:rsidR="6637C4D3" w:rsidRPr="4BD80007">
        <w:rPr>
          <w:rFonts w:ascii="Calibri" w:eastAsia="Calibri" w:hAnsi="Calibri" w:cs="Calibri"/>
        </w:rPr>
        <w:t>s</w:t>
      </w:r>
      <w:r w:rsidR="50447FD0" w:rsidRPr="4BD80007">
        <w:rPr>
          <w:rFonts w:ascii="Calibri" w:eastAsia="Calibri" w:hAnsi="Calibri" w:cs="Calibri"/>
        </w:rPr>
        <w:t xml:space="preserve"> support capital improvements for</w:t>
      </w:r>
      <w:r w:rsidR="0E426FFB" w:rsidRPr="4BD80007">
        <w:rPr>
          <w:rFonts w:ascii="Calibri" w:eastAsia="Calibri" w:hAnsi="Calibri" w:cs="Calibri"/>
        </w:rPr>
        <w:t xml:space="preserve"> permanent supportive housing and</w:t>
      </w:r>
      <w:r w:rsidR="50447FD0" w:rsidRPr="4BD80007">
        <w:rPr>
          <w:rFonts w:ascii="Calibri" w:eastAsia="Calibri" w:hAnsi="Calibri" w:cs="Calibri"/>
        </w:rPr>
        <w:t xml:space="preserve"> </w:t>
      </w:r>
      <w:r w:rsidR="0524BA66" w:rsidRPr="4BD80007">
        <w:rPr>
          <w:rFonts w:ascii="Calibri" w:eastAsia="Calibri" w:hAnsi="Calibri" w:cs="Calibri"/>
        </w:rPr>
        <w:t>e</w:t>
      </w:r>
      <w:r w:rsidR="50447FD0" w:rsidRPr="4BD80007">
        <w:rPr>
          <w:rFonts w:ascii="Calibri" w:eastAsia="Calibri" w:hAnsi="Calibri" w:cs="Calibri"/>
        </w:rPr>
        <w:t xml:space="preserve">mergency </w:t>
      </w:r>
      <w:r w:rsidR="0C7DB30D" w:rsidRPr="4BD80007">
        <w:rPr>
          <w:rFonts w:ascii="Calibri" w:eastAsia="Calibri" w:hAnsi="Calibri" w:cs="Calibri"/>
        </w:rPr>
        <w:t>s</w:t>
      </w:r>
      <w:r w:rsidR="50447FD0" w:rsidRPr="4BD80007">
        <w:rPr>
          <w:rFonts w:ascii="Calibri" w:eastAsia="Calibri" w:hAnsi="Calibri" w:cs="Calibri"/>
        </w:rPr>
        <w:t xml:space="preserve">helters servicing homeless individuals or families. </w:t>
      </w:r>
    </w:p>
    <w:p w14:paraId="4BC22BB2" w14:textId="744500B6" w:rsidR="54FDEEE5" w:rsidRDefault="54FDEEE5" w:rsidP="54FDEEE5">
      <w:pPr>
        <w:rPr>
          <w:rFonts w:ascii="Calibri" w:eastAsia="Calibri" w:hAnsi="Calibri" w:cs="Calibri"/>
        </w:rPr>
      </w:pPr>
    </w:p>
    <w:p w14:paraId="6D8405E6" w14:textId="5E0B9CB2" w:rsidR="007E5BF0" w:rsidRDefault="007E5BF0" w:rsidP="007E5BF0">
      <w:r>
        <w:t xml:space="preserve">HTF will specifically provide funds to assist extremely low-income households (as listed in </w:t>
      </w:r>
      <w:r w:rsidRPr="54FDEEE5">
        <w:rPr>
          <w:b/>
          <w:bCs/>
        </w:rPr>
        <w:t xml:space="preserve">Table </w:t>
      </w:r>
      <w:r w:rsidR="003E73B9" w:rsidRPr="54FDEEE5">
        <w:rPr>
          <w:b/>
          <w:bCs/>
        </w:rPr>
        <w:t>6</w:t>
      </w:r>
      <w:r>
        <w:t xml:space="preserve">). HTF funds will assist with providing </w:t>
      </w:r>
      <w:r w:rsidR="0CD399B2">
        <w:t>20</w:t>
      </w:r>
      <w:r w:rsidR="00BE5747">
        <w:t xml:space="preserve"> </w:t>
      </w:r>
      <w:r>
        <w:t xml:space="preserve">households access to new or rehabilitated rental units and assisting </w:t>
      </w:r>
      <w:r w:rsidR="192DC01C">
        <w:t>10</w:t>
      </w:r>
      <w:r w:rsidR="5E7FA58E">
        <w:t xml:space="preserve"> </w:t>
      </w:r>
      <w:r>
        <w:t xml:space="preserve">households who are homeless or at risk of homelessness with permanent housing. </w:t>
      </w:r>
    </w:p>
    <w:p w14:paraId="7CE34754" w14:textId="77777777" w:rsidR="007E5BF0" w:rsidRPr="004430FB" w:rsidRDefault="007E5BF0" w:rsidP="007E5BF0"/>
    <w:p w14:paraId="2939CDF5" w14:textId="3900AABE" w:rsidR="00D1589B" w:rsidRDefault="75DFF854" w:rsidP="007E5BF0">
      <w:r>
        <w:t xml:space="preserve">CDBG funds will </w:t>
      </w:r>
      <w:proofErr w:type="gramStart"/>
      <w:r>
        <w:t xml:space="preserve">provide </w:t>
      </w:r>
      <w:r w:rsidR="74EF076B">
        <w:t>assistance</w:t>
      </w:r>
      <w:r>
        <w:t xml:space="preserve"> to</w:t>
      </w:r>
      <w:proofErr w:type="gramEnd"/>
      <w:r>
        <w:t xml:space="preserve"> </w:t>
      </w:r>
      <w:r w:rsidR="3393EC9D">
        <w:t>LMI</w:t>
      </w:r>
      <w:r>
        <w:t xml:space="preserve"> households </w:t>
      </w:r>
      <w:r w:rsidR="0CB817C8">
        <w:t>(</w:t>
      </w:r>
      <w:r>
        <w:t xml:space="preserve">as listed in </w:t>
      </w:r>
      <w:r w:rsidRPr="0023706D">
        <w:rPr>
          <w:b/>
          <w:bCs/>
        </w:rPr>
        <w:t>Table 6</w:t>
      </w:r>
      <w:r w:rsidR="1A565CCB">
        <w:t>)</w:t>
      </w:r>
      <w:r>
        <w:t xml:space="preserve">. CDBG funds will assist with rehabilitating </w:t>
      </w:r>
      <w:r w:rsidR="26E08687">
        <w:t xml:space="preserve">single-family and multi-family </w:t>
      </w:r>
      <w:r>
        <w:t xml:space="preserve">homes for </w:t>
      </w:r>
      <w:r w:rsidR="0CEF7A32">
        <w:t>15</w:t>
      </w:r>
      <w:r w:rsidR="523C0F9B">
        <w:t xml:space="preserve"> </w:t>
      </w:r>
      <w:r>
        <w:t xml:space="preserve">households and </w:t>
      </w:r>
      <w:r w:rsidR="5E70435B">
        <w:t>10</w:t>
      </w:r>
      <w:r w:rsidR="60AF3BCD">
        <w:t xml:space="preserve"> </w:t>
      </w:r>
      <w:r>
        <w:t>households experiencing homelessness.</w:t>
      </w:r>
    </w:p>
    <w:p w14:paraId="427096F4" w14:textId="77777777" w:rsidR="00D1589B" w:rsidRDefault="00D1589B" w:rsidP="007E5BF0"/>
    <w:p w14:paraId="48455526" w14:textId="337417EA" w:rsidR="00D85CF0" w:rsidRDefault="00D85CF0" w:rsidP="007E5BF0">
      <w:r>
        <w:t xml:space="preserve">CDBG funds will provide planning opportunities to communities (as listed in </w:t>
      </w:r>
      <w:r w:rsidRPr="0023706D">
        <w:rPr>
          <w:b/>
          <w:bCs/>
        </w:rPr>
        <w:t>Table 6</w:t>
      </w:r>
      <w:r>
        <w:t xml:space="preserve">). CDBG funds will assist in helping communities engage in comprehensive planning, such as for community development, physical infrastructure, resiliency, economic </w:t>
      </w:r>
      <w:r w:rsidR="002C18F3">
        <w:t>development,</w:t>
      </w:r>
      <w:r>
        <w:t xml:space="preserve"> and preliminary project design. CDBG planning funds will </w:t>
      </w:r>
      <w:r w:rsidR="00E92644">
        <w:t>aid local</w:t>
      </w:r>
      <w:r>
        <w:t xml:space="preserve"> governments during this program year. </w:t>
      </w:r>
    </w:p>
    <w:p w14:paraId="23FD2B24" w14:textId="77777777" w:rsidR="00D85CF0" w:rsidRDefault="00D85CF0" w:rsidP="007E5BF0"/>
    <w:p w14:paraId="0534FDF2" w14:textId="0E396192" w:rsidR="00D85CF0" w:rsidRDefault="002C18F3" w:rsidP="007E5BF0">
      <w:r>
        <w:t xml:space="preserve">CDBG funds will provide public infrastructure assistance to communities (as listed in </w:t>
      </w:r>
      <w:r w:rsidRPr="0023706D">
        <w:rPr>
          <w:b/>
          <w:bCs/>
        </w:rPr>
        <w:t>Table 6</w:t>
      </w:r>
      <w:r>
        <w:t xml:space="preserve">). CDBG funds will assist communities </w:t>
      </w:r>
      <w:r w:rsidR="00340FB8">
        <w:t xml:space="preserve">in constructing </w:t>
      </w:r>
      <w:r w:rsidR="00C919AE">
        <w:t xml:space="preserve">or rehabilitating </w:t>
      </w:r>
      <w:r w:rsidR="00340FB8">
        <w:t>wastewater</w:t>
      </w:r>
      <w:r w:rsidR="00F80579">
        <w:t xml:space="preserve"> facilities</w:t>
      </w:r>
      <w:r w:rsidR="00F708FD">
        <w:t xml:space="preserve"> and systems</w:t>
      </w:r>
      <w:r w:rsidR="00340FB8">
        <w:t xml:space="preserve">, </w:t>
      </w:r>
      <w:r w:rsidR="00C86656">
        <w:t>water treatment</w:t>
      </w:r>
      <w:r w:rsidR="00340FB8">
        <w:t xml:space="preserve"> </w:t>
      </w:r>
      <w:r w:rsidR="00F80579">
        <w:t xml:space="preserve">facilities </w:t>
      </w:r>
      <w:r w:rsidR="00F708FD">
        <w:t xml:space="preserve">and </w:t>
      </w:r>
      <w:r w:rsidR="00340FB8">
        <w:t xml:space="preserve">systems, and storm drain infrastructure that will predominantly assist low-to-moderate income households. These funds will also help update and construct new community facilities, such as community centers, senior centers, and other vital community projects. </w:t>
      </w:r>
    </w:p>
    <w:p w14:paraId="781C017A" w14:textId="77777777" w:rsidR="00340FB8" w:rsidRDefault="00340FB8" w:rsidP="007E5BF0"/>
    <w:p w14:paraId="36D9ECD3" w14:textId="1330DEC2" w:rsidR="00340FB8" w:rsidRDefault="00340FB8" w:rsidP="007E5BF0">
      <w:r>
        <w:t xml:space="preserve">CDBG funds will provide economic development assistance to local small businesses to create new jobs and revitalize historic downtown businesses. A variety of these activities will primarily support low-to-moderate income residents. </w:t>
      </w:r>
    </w:p>
    <w:p w14:paraId="4B628FDD" w14:textId="1FF257BD" w:rsidR="006077DD" w:rsidRDefault="006077DD" w:rsidP="006077DD"/>
    <w:p w14:paraId="36346E9B" w14:textId="31824433" w:rsidR="007E5BF0" w:rsidRPr="004430FB" w:rsidRDefault="6CFD59CF" w:rsidP="2F69EFA0">
      <w:r>
        <w:t>ESG</w:t>
      </w:r>
      <w:r w:rsidR="35AAE796">
        <w:t xml:space="preserve"> funds will be used to help families</w:t>
      </w:r>
      <w:r w:rsidR="598841D5">
        <w:t xml:space="preserve"> primarily</w:t>
      </w:r>
      <w:r w:rsidR="35AAE796">
        <w:t xml:space="preserve"> through homeless prevention and rapid rehousing activities. The goal is to assist </w:t>
      </w:r>
      <w:r w:rsidR="00610707">
        <w:t>100</w:t>
      </w:r>
      <w:r w:rsidR="35AAE796">
        <w:t xml:space="preserve"> households under each category</w:t>
      </w:r>
      <w:r w:rsidR="1267F31C">
        <w:t>.</w:t>
      </w:r>
      <w:r>
        <w:t xml:space="preserve"> Homeless prevention funds can only help families </w:t>
      </w:r>
      <w:r w:rsidR="649E350D">
        <w:t>who are considered extremely low income at or below</w:t>
      </w:r>
      <w:r>
        <w:t xml:space="preserve"> 30% AMI, which is either at or below extremely low-income. ESG Rapid Rehousing (RRH) is used to help families that are homeless and presumably have little to zero income. RRH does not require income eligibility at initial assessment.</w:t>
      </w:r>
      <w:r w:rsidR="4EAF965A">
        <w:t xml:space="preserve"> </w:t>
      </w:r>
    </w:p>
    <w:p w14:paraId="14840B59" w14:textId="77777777" w:rsidR="007E5BF0" w:rsidRDefault="007E5BF0" w:rsidP="007E5BF0"/>
    <w:p w14:paraId="28B42369" w14:textId="77777777" w:rsidR="007E5BF0" w:rsidRDefault="007E5BF0" w:rsidP="003747A4">
      <w:pPr>
        <w:pStyle w:val="Heading2"/>
      </w:pPr>
      <w:bookmarkStart w:id="50" w:name="_Toc70505038"/>
      <w:bookmarkStart w:id="51" w:name="_Toc72413492"/>
      <w:r>
        <w:lastRenderedPageBreak/>
        <w:t>AP-25 Allocation Priorities – 91.320(d)</w:t>
      </w:r>
      <w:bookmarkEnd w:id="50"/>
      <w:bookmarkEnd w:id="51"/>
    </w:p>
    <w:p w14:paraId="21BF30F6" w14:textId="77777777" w:rsidR="007E5BF0" w:rsidRDefault="007E5BF0" w:rsidP="007E5BF0">
      <w:pPr>
        <w:pStyle w:val="Heading3"/>
      </w:pPr>
      <w:r>
        <w:t xml:space="preserve">Introduction </w:t>
      </w:r>
    </w:p>
    <w:p w14:paraId="3EC62196" w14:textId="77777777" w:rsidR="007E5BF0" w:rsidRDefault="007E5BF0" w:rsidP="007E5BF0">
      <w:r w:rsidRPr="009C2364">
        <w:t xml:space="preserve">The State of Montana will prioritize the award of HOME and HTF funds to eligible applicants that propose to preserve and construct affordable housing and reduce homelessness. The State of Montana will prioritize the award of CDBG funds to eligible applicants that </w:t>
      </w:r>
      <w:r>
        <w:t xml:space="preserve">propose to preserve affordable housing, </w:t>
      </w:r>
      <w:r w:rsidRPr="009C2364">
        <w:t xml:space="preserve">engage in community planning, improve </w:t>
      </w:r>
      <w:r>
        <w:t xml:space="preserve">and sustain </w:t>
      </w:r>
      <w:r w:rsidRPr="009C2364">
        <w:t xml:space="preserve">vital public infrastructure, revitalize local economies, and reduce homelessness. The State of Montana will continue to use ESG funds to reduce homelessness across the </w:t>
      </w:r>
      <w:r>
        <w:t>s</w:t>
      </w:r>
      <w:r w:rsidRPr="009C2364">
        <w:t>tate.</w:t>
      </w:r>
      <w:r w:rsidRPr="00EC47CA">
        <w:t xml:space="preserve"> </w:t>
      </w:r>
    </w:p>
    <w:p w14:paraId="520357A0" w14:textId="77777777" w:rsidR="007E5BF0" w:rsidRDefault="007E5BF0" w:rsidP="007E5BF0"/>
    <w:p w14:paraId="654570AF" w14:textId="61DFE92F" w:rsidR="007E5BF0" w:rsidRPr="00D72240" w:rsidRDefault="007E5BF0" w:rsidP="007E5BF0">
      <w:r>
        <w:t xml:space="preserve">Because the State of Montana’s HOPWA funds are provided via competitive award and not through a formula grant, a discussion of HOPWA funding priorities is not included herein, and HOPWA allocation priorities are not provided in </w:t>
      </w:r>
      <w:r w:rsidRPr="00E552B5">
        <w:rPr>
          <w:b/>
          <w:bCs/>
        </w:rPr>
        <w:t xml:space="preserve">Table </w:t>
      </w:r>
      <w:r w:rsidR="003E73B9">
        <w:rPr>
          <w:b/>
          <w:bCs/>
        </w:rPr>
        <w:t>7</w:t>
      </w:r>
      <w:r>
        <w:t xml:space="preserve">. For information about the State’s HOPWA program, funded via </w:t>
      </w:r>
      <w:proofErr w:type="gramStart"/>
      <w:r>
        <w:t>competitive</w:t>
      </w:r>
      <w:proofErr w:type="gramEnd"/>
      <w:r>
        <w:t xml:space="preserve"> award, please see Montana’s HOPWA Annual Progress Report. </w:t>
      </w:r>
    </w:p>
    <w:p w14:paraId="3400E86E" w14:textId="77777777" w:rsidR="007E5BF0" w:rsidRDefault="007E5BF0" w:rsidP="007E5BF0"/>
    <w:p w14:paraId="21E18B4B" w14:textId="77777777" w:rsidR="007E5BF0" w:rsidRDefault="007E5BF0" w:rsidP="007E5BF0">
      <w:pPr>
        <w:spacing w:after="160" w:line="259" w:lineRule="auto"/>
        <w:rPr>
          <w:rFonts w:asciiTheme="majorHAnsi" w:eastAsiaTheme="majorEastAsia" w:hAnsiTheme="majorHAnsi" w:cstheme="majorBidi"/>
          <w:b/>
          <w:i/>
          <w:color w:val="6E9699"/>
          <w:sz w:val="24"/>
          <w:szCs w:val="24"/>
        </w:rPr>
      </w:pPr>
      <w:r>
        <w:br w:type="page"/>
      </w:r>
    </w:p>
    <w:p w14:paraId="64A99316" w14:textId="77777777" w:rsidR="007E5BF0" w:rsidRDefault="007E5BF0" w:rsidP="007E5BF0">
      <w:pPr>
        <w:pStyle w:val="Heading3"/>
      </w:pPr>
      <w:r>
        <w:lastRenderedPageBreak/>
        <w:t>Funding Allocation Priorities</w:t>
      </w:r>
    </w:p>
    <w:p w14:paraId="587CA0D6" w14:textId="77777777" w:rsidR="007E5BF0" w:rsidRDefault="007E5BF0" w:rsidP="007E5BF0"/>
    <w:p w14:paraId="40331685" w14:textId="678BCBB9" w:rsidR="007E5BF0" w:rsidRDefault="007E5BF0" w:rsidP="007E5BF0">
      <w:pPr>
        <w:pStyle w:val="TableCaption"/>
      </w:pPr>
      <w:bookmarkStart w:id="52" w:name="_Toc56449317"/>
      <w:bookmarkStart w:id="53" w:name="_Toc61552609"/>
      <w:bookmarkStart w:id="54" w:name="_Toc70505196"/>
      <w:bookmarkStart w:id="55" w:name="_Toc73081444"/>
      <w:r>
        <w:t xml:space="preserve">Table </w:t>
      </w:r>
      <w:r w:rsidR="003E73B9">
        <w:t>7</w:t>
      </w:r>
      <w:r>
        <w:t xml:space="preserve"> – Funding Allocation Priorities</w:t>
      </w:r>
      <w:bookmarkEnd w:id="52"/>
      <w:bookmarkEnd w:id="53"/>
      <w:bookmarkEnd w:id="54"/>
      <w:bookmarkEnd w:id="55"/>
    </w:p>
    <w:p w14:paraId="122EA39A" w14:textId="3AFEC7B0" w:rsidR="46B8E4FB" w:rsidRDefault="62A78A72" w:rsidP="0023706D">
      <w:pPr>
        <w:pStyle w:val="TableCaption"/>
      </w:pPr>
      <w:r w:rsidRPr="12909959">
        <w:rPr>
          <w:b w:val="0"/>
          <w:sz w:val="20"/>
          <w:szCs w:val="20"/>
        </w:rPr>
        <w:t xml:space="preserve">Program allocations are estimates based on historical data and anticipated needs. Once HUD announces actual allocations, </w:t>
      </w:r>
      <w:r w:rsidR="76B1AE94" w:rsidRPr="12909959">
        <w:rPr>
          <w:b w:val="0"/>
          <w:sz w:val="20"/>
          <w:szCs w:val="20"/>
        </w:rPr>
        <w:t xml:space="preserve">the </w:t>
      </w:r>
      <w:r w:rsidRPr="12909959">
        <w:rPr>
          <w:b w:val="0"/>
          <w:sz w:val="20"/>
          <w:szCs w:val="20"/>
        </w:rPr>
        <w:t xml:space="preserve">funding allocation priorities </w:t>
      </w:r>
      <w:r w:rsidR="4F25250A" w:rsidRPr="12909959">
        <w:rPr>
          <w:b w:val="0"/>
          <w:sz w:val="20"/>
          <w:szCs w:val="20"/>
        </w:rPr>
        <w:t xml:space="preserve">in Table 7 </w:t>
      </w:r>
      <w:r w:rsidRPr="12909959">
        <w:rPr>
          <w:b w:val="0"/>
          <w:sz w:val="20"/>
          <w:szCs w:val="20"/>
        </w:rPr>
        <w:t>will be adjusted proportionally</w:t>
      </w:r>
      <w:r>
        <w:rPr>
          <w:b w:val="0"/>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Caption w:val="Funding Allocation Priorities (Table 7)"/>
        <w:tblDescription w:val="This table shows funding allocation priorities by goal and program for the Plan Year."/>
      </w:tblPr>
      <w:tblGrid>
        <w:gridCol w:w="805"/>
        <w:gridCol w:w="990"/>
        <w:gridCol w:w="450"/>
        <w:gridCol w:w="900"/>
        <w:gridCol w:w="360"/>
        <w:gridCol w:w="990"/>
        <w:gridCol w:w="540"/>
        <w:gridCol w:w="990"/>
        <w:gridCol w:w="450"/>
        <w:gridCol w:w="1080"/>
        <w:gridCol w:w="450"/>
        <w:gridCol w:w="900"/>
        <w:gridCol w:w="445"/>
      </w:tblGrid>
      <w:tr w:rsidR="00340FB8" w:rsidRPr="00E0186B" w14:paraId="1084A139" w14:textId="77777777" w:rsidTr="16663A5A">
        <w:trPr>
          <w:trHeight w:val="300"/>
        </w:trPr>
        <w:tc>
          <w:tcPr>
            <w:tcW w:w="805" w:type="dxa"/>
            <w:vMerge w:val="restart"/>
            <w:shd w:val="clear" w:color="auto" w:fill="C5D4D5"/>
            <w:vAlign w:val="center"/>
          </w:tcPr>
          <w:p w14:paraId="02F3D1EC" w14:textId="77777777" w:rsidR="007E5BF0" w:rsidRPr="00E8263C" w:rsidRDefault="007E5BF0" w:rsidP="0044257C">
            <w:pPr>
              <w:jc w:val="center"/>
              <w:rPr>
                <w:rFonts w:ascii="Calibri" w:eastAsia="Times New Roman" w:hAnsi="Calibri" w:cs="Calibri"/>
                <w:color w:val="000000"/>
                <w:sz w:val="18"/>
                <w:szCs w:val="18"/>
              </w:rPr>
            </w:pPr>
            <w:r w:rsidRPr="00E8263C">
              <w:rPr>
                <w:rFonts w:ascii="Calibri" w:eastAsia="Times New Roman" w:hAnsi="Calibri" w:cs="Calibri"/>
                <w:color w:val="000000"/>
                <w:sz w:val="18"/>
                <w:szCs w:val="18"/>
              </w:rPr>
              <w:t>Program</w:t>
            </w:r>
          </w:p>
        </w:tc>
        <w:tc>
          <w:tcPr>
            <w:tcW w:w="7200" w:type="dxa"/>
            <w:gridSpan w:val="10"/>
            <w:shd w:val="clear" w:color="auto" w:fill="C5D4D5"/>
            <w:vAlign w:val="center"/>
          </w:tcPr>
          <w:p w14:paraId="5EC909E6" w14:textId="77777777" w:rsidR="007E5BF0" w:rsidRPr="00E8263C" w:rsidRDefault="007E5BF0" w:rsidP="0044257C">
            <w:pPr>
              <w:jc w:val="center"/>
              <w:rPr>
                <w:rFonts w:ascii="Calibri" w:eastAsia="Times New Roman" w:hAnsi="Calibri" w:cs="Calibri"/>
                <w:color w:val="000000"/>
                <w:sz w:val="18"/>
                <w:szCs w:val="18"/>
              </w:rPr>
            </w:pPr>
            <w:r w:rsidRPr="00E8263C">
              <w:rPr>
                <w:rFonts w:ascii="Calibri" w:eastAsia="Times New Roman" w:hAnsi="Calibri" w:cs="Calibri"/>
                <w:color w:val="000000"/>
                <w:sz w:val="18"/>
                <w:szCs w:val="18"/>
              </w:rPr>
              <w:t>Goal</w:t>
            </w:r>
          </w:p>
        </w:tc>
        <w:tc>
          <w:tcPr>
            <w:tcW w:w="1345" w:type="dxa"/>
            <w:gridSpan w:val="2"/>
            <w:vMerge w:val="restart"/>
            <w:shd w:val="clear" w:color="auto" w:fill="C5D4D5"/>
            <w:vAlign w:val="center"/>
          </w:tcPr>
          <w:p w14:paraId="618D9B1D" w14:textId="77777777" w:rsidR="007E5BF0" w:rsidRPr="00E8263C" w:rsidRDefault="007E5BF0" w:rsidP="0044257C">
            <w:pPr>
              <w:jc w:val="center"/>
              <w:rPr>
                <w:rFonts w:ascii="Calibri" w:eastAsia="Times New Roman" w:hAnsi="Calibri" w:cs="Calibri"/>
                <w:color w:val="000000"/>
                <w:sz w:val="18"/>
                <w:szCs w:val="18"/>
              </w:rPr>
            </w:pPr>
            <w:r w:rsidRPr="00E8263C">
              <w:rPr>
                <w:rFonts w:ascii="Calibri" w:eastAsia="Times New Roman" w:hAnsi="Calibri" w:cs="Calibri"/>
                <w:color w:val="000000"/>
                <w:sz w:val="18"/>
                <w:szCs w:val="18"/>
              </w:rPr>
              <w:t>Admin</w:t>
            </w:r>
          </w:p>
        </w:tc>
      </w:tr>
      <w:tr w:rsidR="00451AE1" w:rsidRPr="00E0186B" w14:paraId="2B2861B2" w14:textId="77777777" w:rsidTr="00FC3387">
        <w:trPr>
          <w:trHeight w:val="1136"/>
        </w:trPr>
        <w:tc>
          <w:tcPr>
            <w:tcW w:w="805" w:type="dxa"/>
            <w:vMerge/>
            <w:vAlign w:val="center"/>
            <w:hideMark/>
          </w:tcPr>
          <w:p w14:paraId="4B29BA95" w14:textId="77777777" w:rsidR="007E5BF0" w:rsidRPr="00E8263C" w:rsidRDefault="007E5BF0" w:rsidP="0044257C">
            <w:pPr>
              <w:jc w:val="center"/>
              <w:rPr>
                <w:rFonts w:ascii="Calibri" w:eastAsia="Times New Roman" w:hAnsi="Calibri" w:cs="Calibri"/>
                <w:color w:val="000000"/>
                <w:sz w:val="18"/>
                <w:szCs w:val="18"/>
              </w:rPr>
            </w:pPr>
          </w:p>
        </w:tc>
        <w:tc>
          <w:tcPr>
            <w:tcW w:w="1440" w:type="dxa"/>
            <w:gridSpan w:val="2"/>
            <w:shd w:val="clear" w:color="auto" w:fill="DDE6E7"/>
            <w:vAlign w:val="center"/>
            <w:hideMark/>
          </w:tcPr>
          <w:p w14:paraId="1AE7CCC9" w14:textId="77777777" w:rsidR="007E5BF0" w:rsidRPr="00E8263C" w:rsidRDefault="007E5BF0" w:rsidP="0044257C">
            <w:pPr>
              <w:jc w:val="center"/>
              <w:rPr>
                <w:rFonts w:ascii="Calibri" w:eastAsia="Times New Roman" w:hAnsi="Calibri" w:cs="Calibri"/>
                <w:color w:val="000000"/>
                <w:sz w:val="18"/>
                <w:szCs w:val="18"/>
              </w:rPr>
            </w:pPr>
            <w:r w:rsidRPr="00E8263C">
              <w:rPr>
                <w:rFonts w:ascii="Calibri" w:eastAsia="Times New Roman" w:hAnsi="Calibri" w:cs="Calibri"/>
                <w:color w:val="000000"/>
                <w:sz w:val="18"/>
                <w:szCs w:val="18"/>
              </w:rPr>
              <w:t>Preserve and Construct Affordable Housing</w:t>
            </w:r>
          </w:p>
        </w:tc>
        <w:tc>
          <w:tcPr>
            <w:tcW w:w="1260" w:type="dxa"/>
            <w:gridSpan w:val="2"/>
            <w:shd w:val="clear" w:color="auto" w:fill="DDE6E7"/>
            <w:vAlign w:val="center"/>
            <w:hideMark/>
          </w:tcPr>
          <w:p w14:paraId="49A7E8A7" w14:textId="77777777" w:rsidR="007E5BF0" w:rsidRPr="00E8263C" w:rsidRDefault="007E5BF0" w:rsidP="0044257C">
            <w:pPr>
              <w:jc w:val="center"/>
              <w:rPr>
                <w:rFonts w:ascii="Calibri" w:eastAsia="Times New Roman" w:hAnsi="Calibri" w:cs="Calibri"/>
                <w:color w:val="000000"/>
                <w:sz w:val="18"/>
                <w:szCs w:val="18"/>
              </w:rPr>
            </w:pPr>
            <w:r w:rsidRPr="00E8263C">
              <w:rPr>
                <w:rFonts w:ascii="Calibri" w:eastAsia="Times New Roman" w:hAnsi="Calibri" w:cs="Calibri"/>
                <w:color w:val="000000"/>
                <w:sz w:val="18"/>
                <w:szCs w:val="18"/>
              </w:rPr>
              <w:t>Plan for Communities</w:t>
            </w:r>
          </w:p>
        </w:tc>
        <w:tc>
          <w:tcPr>
            <w:tcW w:w="1530" w:type="dxa"/>
            <w:gridSpan w:val="2"/>
            <w:shd w:val="clear" w:color="auto" w:fill="DDE6E7"/>
            <w:vAlign w:val="center"/>
            <w:hideMark/>
          </w:tcPr>
          <w:p w14:paraId="499519E5" w14:textId="77777777" w:rsidR="007E5BF0" w:rsidRPr="00E8263C" w:rsidRDefault="007E5BF0" w:rsidP="0044257C">
            <w:pPr>
              <w:jc w:val="center"/>
              <w:rPr>
                <w:rFonts w:ascii="Calibri" w:eastAsia="Times New Roman" w:hAnsi="Calibri" w:cs="Calibri"/>
                <w:sz w:val="18"/>
                <w:szCs w:val="18"/>
              </w:rPr>
            </w:pPr>
            <w:r w:rsidRPr="00E8263C">
              <w:rPr>
                <w:rFonts w:ascii="Calibri" w:eastAsia="Times New Roman" w:hAnsi="Calibri" w:cs="Calibri"/>
                <w:sz w:val="18"/>
                <w:szCs w:val="18"/>
              </w:rPr>
              <w:t>Improve and Sustain Vital Public Infrastructure</w:t>
            </w:r>
          </w:p>
        </w:tc>
        <w:tc>
          <w:tcPr>
            <w:tcW w:w="1440" w:type="dxa"/>
            <w:gridSpan w:val="2"/>
            <w:shd w:val="clear" w:color="auto" w:fill="DDE6E7"/>
            <w:vAlign w:val="center"/>
            <w:hideMark/>
          </w:tcPr>
          <w:p w14:paraId="780F4E1D" w14:textId="77777777" w:rsidR="007E5BF0" w:rsidRPr="00E8263C" w:rsidRDefault="007E5BF0" w:rsidP="0044257C">
            <w:pPr>
              <w:jc w:val="center"/>
              <w:rPr>
                <w:rFonts w:ascii="Calibri" w:eastAsia="Times New Roman" w:hAnsi="Calibri" w:cs="Calibri"/>
                <w:color w:val="000000"/>
                <w:sz w:val="18"/>
                <w:szCs w:val="18"/>
              </w:rPr>
            </w:pPr>
            <w:r w:rsidRPr="00E8263C">
              <w:rPr>
                <w:rFonts w:ascii="Calibri" w:eastAsia="Times New Roman" w:hAnsi="Calibri" w:cs="Calibri"/>
                <w:color w:val="000000"/>
                <w:sz w:val="18"/>
                <w:szCs w:val="18"/>
              </w:rPr>
              <w:t>Revitalize Local Economies</w:t>
            </w:r>
          </w:p>
        </w:tc>
        <w:tc>
          <w:tcPr>
            <w:tcW w:w="1530" w:type="dxa"/>
            <w:gridSpan w:val="2"/>
            <w:shd w:val="clear" w:color="auto" w:fill="DDE6E7"/>
            <w:vAlign w:val="center"/>
            <w:hideMark/>
          </w:tcPr>
          <w:p w14:paraId="7E34AC43" w14:textId="77777777" w:rsidR="007E5BF0" w:rsidRPr="00E8263C" w:rsidRDefault="007E5BF0" w:rsidP="0044257C">
            <w:pPr>
              <w:jc w:val="center"/>
              <w:rPr>
                <w:rFonts w:ascii="Calibri" w:eastAsia="Times New Roman" w:hAnsi="Calibri" w:cs="Calibri"/>
                <w:color w:val="000000"/>
                <w:sz w:val="18"/>
                <w:szCs w:val="18"/>
              </w:rPr>
            </w:pPr>
            <w:r w:rsidRPr="00E8263C">
              <w:rPr>
                <w:rFonts w:ascii="Calibri" w:eastAsia="Times New Roman" w:hAnsi="Calibri" w:cs="Calibri"/>
                <w:color w:val="000000"/>
                <w:sz w:val="18"/>
                <w:szCs w:val="18"/>
              </w:rPr>
              <w:t>Reduce Homelessness</w:t>
            </w:r>
          </w:p>
        </w:tc>
        <w:tc>
          <w:tcPr>
            <w:tcW w:w="1345" w:type="dxa"/>
            <w:gridSpan w:val="2"/>
            <w:vMerge/>
            <w:vAlign w:val="center"/>
            <w:hideMark/>
          </w:tcPr>
          <w:p w14:paraId="45C17EC0" w14:textId="77777777" w:rsidR="007E5BF0" w:rsidRPr="00E8263C" w:rsidRDefault="007E5BF0" w:rsidP="0044257C">
            <w:pPr>
              <w:jc w:val="center"/>
              <w:rPr>
                <w:rFonts w:ascii="Calibri" w:eastAsia="Times New Roman" w:hAnsi="Calibri" w:cs="Calibri"/>
                <w:color w:val="000000"/>
                <w:sz w:val="18"/>
                <w:szCs w:val="18"/>
              </w:rPr>
            </w:pPr>
          </w:p>
        </w:tc>
      </w:tr>
      <w:tr w:rsidR="00451AE1" w:rsidRPr="00E0186B" w14:paraId="48D8F20A" w14:textId="77777777" w:rsidTr="00FC3387">
        <w:trPr>
          <w:trHeight w:val="20"/>
        </w:trPr>
        <w:tc>
          <w:tcPr>
            <w:tcW w:w="805" w:type="dxa"/>
            <w:shd w:val="clear" w:color="auto" w:fill="auto"/>
            <w:vAlign w:val="center"/>
            <w:hideMark/>
          </w:tcPr>
          <w:p w14:paraId="4738AA41" w14:textId="77777777" w:rsidR="002B4296" w:rsidRPr="00E8263C" w:rsidRDefault="17B8C0FB" w:rsidP="002B4296">
            <w:pPr>
              <w:rPr>
                <w:rFonts w:ascii="Calibri" w:eastAsia="Times New Roman" w:hAnsi="Calibri" w:cs="Calibri"/>
                <w:color w:val="000000"/>
                <w:sz w:val="18"/>
                <w:szCs w:val="18"/>
              </w:rPr>
            </w:pPr>
            <w:r w:rsidRPr="16663A5A">
              <w:rPr>
                <w:rFonts w:ascii="Calibri" w:eastAsia="Times New Roman" w:hAnsi="Calibri" w:cs="Calibri"/>
                <w:color w:val="000000" w:themeColor="text1"/>
                <w:sz w:val="18"/>
                <w:szCs w:val="18"/>
              </w:rPr>
              <w:t>CDBG</w:t>
            </w:r>
          </w:p>
        </w:tc>
        <w:tc>
          <w:tcPr>
            <w:tcW w:w="990" w:type="dxa"/>
            <w:shd w:val="clear" w:color="auto" w:fill="auto"/>
            <w:vAlign w:val="center"/>
          </w:tcPr>
          <w:p w14:paraId="63E8491E" w14:textId="36F9D022" w:rsidR="002B4296" w:rsidRPr="003B52D4" w:rsidRDefault="00DF20BE" w:rsidP="4BD80007">
            <w:pPr>
              <w:jc w:val="right"/>
              <w:rPr>
                <w:rFonts w:ascii="Calibri" w:eastAsia="Times New Roman" w:hAnsi="Calibri" w:cs="Calibri"/>
                <w:color w:val="000000"/>
                <w:sz w:val="18"/>
                <w:szCs w:val="18"/>
              </w:rPr>
            </w:pPr>
            <w:r w:rsidRPr="00DF20BE">
              <w:rPr>
                <w:rFonts w:ascii="Calibri" w:eastAsia="Times New Roman" w:hAnsi="Calibri" w:cs="Calibri"/>
                <w:color w:val="000000" w:themeColor="text1"/>
                <w:sz w:val="18"/>
                <w:szCs w:val="18"/>
              </w:rPr>
              <w:t>$1,150,000</w:t>
            </w:r>
          </w:p>
        </w:tc>
        <w:tc>
          <w:tcPr>
            <w:tcW w:w="450" w:type="dxa"/>
            <w:shd w:val="clear" w:color="auto" w:fill="auto"/>
            <w:vAlign w:val="center"/>
          </w:tcPr>
          <w:p w14:paraId="6149E501" w14:textId="24D8AEC4" w:rsidR="002B4296" w:rsidRPr="00DF20BE" w:rsidRDefault="000C1F6C" w:rsidP="4BD80007">
            <w:pPr>
              <w:jc w:val="right"/>
              <w:rPr>
                <w:rFonts w:ascii="Calibri" w:eastAsia="Times New Roman" w:hAnsi="Calibri" w:cs="Calibri"/>
                <w:b/>
                <w:bCs/>
                <w:sz w:val="18"/>
                <w:szCs w:val="18"/>
              </w:rPr>
            </w:pPr>
            <w:r>
              <w:rPr>
                <w:rFonts w:ascii="Calibri" w:eastAsia="Times New Roman" w:hAnsi="Calibri" w:cs="Calibri"/>
                <w:b/>
                <w:bCs/>
                <w:sz w:val="18"/>
                <w:szCs w:val="18"/>
              </w:rPr>
              <w:t>18%</w:t>
            </w:r>
          </w:p>
        </w:tc>
        <w:tc>
          <w:tcPr>
            <w:tcW w:w="900" w:type="dxa"/>
            <w:shd w:val="clear" w:color="auto" w:fill="auto"/>
            <w:vAlign w:val="center"/>
          </w:tcPr>
          <w:p w14:paraId="6AE340C9" w14:textId="55892918" w:rsidR="002B4296" w:rsidRPr="00DF20BE" w:rsidRDefault="00DF20BE" w:rsidP="4BD80007">
            <w:pPr>
              <w:jc w:val="right"/>
              <w:rPr>
                <w:rFonts w:ascii="Calibri" w:eastAsia="Times New Roman" w:hAnsi="Calibri" w:cs="Calibri"/>
                <w:sz w:val="18"/>
                <w:szCs w:val="18"/>
              </w:rPr>
            </w:pPr>
            <w:r>
              <w:rPr>
                <w:rFonts w:ascii="Calibri" w:eastAsia="Times New Roman" w:hAnsi="Calibri" w:cs="Calibri"/>
                <w:sz w:val="18"/>
                <w:szCs w:val="18"/>
              </w:rPr>
              <w:t>$600,000</w:t>
            </w:r>
          </w:p>
        </w:tc>
        <w:tc>
          <w:tcPr>
            <w:tcW w:w="360" w:type="dxa"/>
            <w:shd w:val="clear" w:color="auto" w:fill="auto"/>
            <w:vAlign w:val="center"/>
          </w:tcPr>
          <w:p w14:paraId="2B394EAA" w14:textId="717C6458" w:rsidR="002B4296" w:rsidRPr="00DF20BE" w:rsidRDefault="000C1F6C" w:rsidP="4BD80007">
            <w:pPr>
              <w:jc w:val="right"/>
              <w:rPr>
                <w:rFonts w:ascii="Calibri" w:eastAsia="Times New Roman" w:hAnsi="Calibri" w:cs="Calibri"/>
                <w:b/>
                <w:bCs/>
                <w:sz w:val="18"/>
                <w:szCs w:val="18"/>
              </w:rPr>
            </w:pPr>
            <w:r>
              <w:rPr>
                <w:rFonts w:ascii="Calibri" w:eastAsia="Times New Roman" w:hAnsi="Calibri" w:cs="Calibri"/>
                <w:b/>
                <w:bCs/>
                <w:sz w:val="18"/>
                <w:szCs w:val="18"/>
              </w:rPr>
              <w:t>9%</w:t>
            </w:r>
          </w:p>
        </w:tc>
        <w:tc>
          <w:tcPr>
            <w:tcW w:w="990" w:type="dxa"/>
            <w:shd w:val="clear" w:color="auto" w:fill="auto"/>
            <w:vAlign w:val="center"/>
          </w:tcPr>
          <w:p w14:paraId="508B9C1C" w14:textId="37115157" w:rsidR="002B4296" w:rsidRPr="00DF20BE" w:rsidRDefault="7936A9F4" w:rsidP="4BD80007">
            <w:pPr>
              <w:jc w:val="right"/>
              <w:rPr>
                <w:rFonts w:ascii="Calibri" w:eastAsia="Times New Roman" w:hAnsi="Calibri" w:cs="Calibri"/>
                <w:sz w:val="18"/>
                <w:szCs w:val="18"/>
              </w:rPr>
            </w:pPr>
            <w:r w:rsidRPr="00DF20BE">
              <w:rPr>
                <w:rFonts w:ascii="Calibri" w:eastAsia="Times New Roman" w:hAnsi="Calibri" w:cs="Calibri"/>
                <w:sz w:val="18"/>
                <w:szCs w:val="18"/>
              </w:rPr>
              <w:t>$</w:t>
            </w:r>
            <w:r w:rsidR="00A9768F">
              <w:rPr>
                <w:rFonts w:ascii="Calibri" w:eastAsia="Times New Roman" w:hAnsi="Calibri" w:cs="Calibri"/>
                <w:sz w:val="18"/>
                <w:szCs w:val="18"/>
              </w:rPr>
              <w:t>2,587,331</w:t>
            </w:r>
          </w:p>
        </w:tc>
        <w:tc>
          <w:tcPr>
            <w:tcW w:w="540" w:type="dxa"/>
            <w:shd w:val="clear" w:color="auto" w:fill="auto"/>
            <w:vAlign w:val="center"/>
          </w:tcPr>
          <w:p w14:paraId="16F0BB89" w14:textId="545F1030" w:rsidR="002B4296" w:rsidRPr="00DF20BE" w:rsidRDefault="00B335AB" w:rsidP="4BD80007">
            <w:pPr>
              <w:jc w:val="right"/>
              <w:rPr>
                <w:rFonts w:ascii="Calibri" w:eastAsia="Times New Roman" w:hAnsi="Calibri" w:cs="Calibri"/>
                <w:b/>
                <w:bCs/>
                <w:sz w:val="18"/>
                <w:szCs w:val="18"/>
              </w:rPr>
            </w:pPr>
            <w:r>
              <w:rPr>
                <w:rFonts w:ascii="Calibri" w:eastAsia="Times New Roman" w:hAnsi="Calibri" w:cs="Calibri"/>
                <w:b/>
                <w:bCs/>
                <w:sz w:val="18"/>
                <w:szCs w:val="18"/>
              </w:rPr>
              <w:t>42%</w:t>
            </w:r>
          </w:p>
        </w:tc>
        <w:tc>
          <w:tcPr>
            <w:tcW w:w="990" w:type="dxa"/>
            <w:shd w:val="clear" w:color="auto" w:fill="auto"/>
            <w:vAlign w:val="center"/>
          </w:tcPr>
          <w:p w14:paraId="2C5736AF" w14:textId="439BFA84" w:rsidR="002B4296" w:rsidRPr="00DF20BE" w:rsidRDefault="30C523BF" w:rsidP="4BD80007">
            <w:pPr>
              <w:jc w:val="right"/>
              <w:rPr>
                <w:rFonts w:ascii="Calibri" w:eastAsia="Times New Roman" w:hAnsi="Calibri" w:cs="Calibri"/>
                <w:sz w:val="18"/>
                <w:szCs w:val="18"/>
              </w:rPr>
            </w:pPr>
            <w:r w:rsidRPr="00DF20BE">
              <w:rPr>
                <w:rFonts w:ascii="Calibri" w:eastAsia="Times New Roman" w:hAnsi="Calibri" w:cs="Calibri"/>
                <w:sz w:val="18"/>
                <w:szCs w:val="18"/>
              </w:rPr>
              <w:t>$1,050,000</w:t>
            </w:r>
          </w:p>
        </w:tc>
        <w:tc>
          <w:tcPr>
            <w:tcW w:w="450" w:type="dxa"/>
            <w:shd w:val="clear" w:color="auto" w:fill="auto"/>
            <w:vAlign w:val="center"/>
          </w:tcPr>
          <w:p w14:paraId="28D9AF18" w14:textId="4D5926ED" w:rsidR="002B4296" w:rsidRPr="00DF20BE" w:rsidRDefault="00035B41" w:rsidP="4BD80007">
            <w:pPr>
              <w:jc w:val="right"/>
              <w:rPr>
                <w:rFonts w:ascii="Calibri" w:eastAsia="Times New Roman" w:hAnsi="Calibri" w:cs="Calibri"/>
                <w:b/>
                <w:bCs/>
                <w:sz w:val="18"/>
                <w:szCs w:val="18"/>
              </w:rPr>
            </w:pPr>
            <w:r>
              <w:rPr>
                <w:rFonts w:ascii="Calibri" w:eastAsia="Times New Roman" w:hAnsi="Calibri" w:cs="Calibri"/>
                <w:b/>
                <w:bCs/>
                <w:sz w:val="18"/>
                <w:szCs w:val="18"/>
              </w:rPr>
              <w:t>17%</w:t>
            </w:r>
          </w:p>
        </w:tc>
        <w:tc>
          <w:tcPr>
            <w:tcW w:w="1080" w:type="dxa"/>
            <w:shd w:val="clear" w:color="auto" w:fill="auto"/>
            <w:noWrap/>
            <w:vAlign w:val="center"/>
          </w:tcPr>
          <w:p w14:paraId="421EE530" w14:textId="5A3A720E" w:rsidR="002B4296" w:rsidRPr="00DF20BE" w:rsidRDefault="336E97CF" w:rsidP="4BD80007">
            <w:pPr>
              <w:jc w:val="right"/>
              <w:rPr>
                <w:rFonts w:ascii="Calibri" w:eastAsia="Times New Roman" w:hAnsi="Calibri" w:cs="Calibri"/>
                <w:sz w:val="18"/>
                <w:szCs w:val="18"/>
              </w:rPr>
            </w:pPr>
            <w:r w:rsidRPr="00DF20BE">
              <w:rPr>
                <w:rFonts w:ascii="Calibri" w:eastAsia="Times New Roman" w:hAnsi="Calibri" w:cs="Calibri"/>
                <w:sz w:val="18"/>
                <w:szCs w:val="18"/>
              </w:rPr>
              <w:t>$5</w:t>
            </w:r>
            <w:r w:rsidR="10722C93" w:rsidRPr="00DF20BE">
              <w:rPr>
                <w:rFonts w:ascii="Calibri" w:eastAsia="Times New Roman" w:hAnsi="Calibri" w:cs="Calibri"/>
                <w:sz w:val="18"/>
                <w:szCs w:val="18"/>
              </w:rPr>
              <w:t>0</w:t>
            </w:r>
            <w:r w:rsidRPr="00DF20BE">
              <w:rPr>
                <w:rFonts w:ascii="Calibri" w:eastAsia="Times New Roman" w:hAnsi="Calibri" w:cs="Calibri"/>
                <w:sz w:val="18"/>
                <w:szCs w:val="18"/>
              </w:rPr>
              <w:t>0,000</w:t>
            </w:r>
          </w:p>
        </w:tc>
        <w:tc>
          <w:tcPr>
            <w:tcW w:w="450" w:type="dxa"/>
            <w:shd w:val="clear" w:color="auto" w:fill="auto"/>
            <w:vAlign w:val="center"/>
          </w:tcPr>
          <w:p w14:paraId="364B487E" w14:textId="4C708083" w:rsidR="002B4296" w:rsidRPr="00DF20BE" w:rsidRDefault="68BCEB44" w:rsidP="4BD80007">
            <w:pPr>
              <w:jc w:val="right"/>
              <w:rPr>
                <w:rFonts w:ascii="Calibri" w:eastAsia="Times New Roman" w:hAnsi="Calibri" w:cs="Calibri"/>
                <w:b/>
                <w:bCs/>
                <w:sz w:val="18"/>
                <w:szCs w:val="18"/>
              </w:rPr>
            </w:pPr>
            <w:r w:rsidRPr="00DF20BE">
              <w:rPr>
                <w:rFonts w:ascii="Calibri" w:eastAsia="Times New Roman" w:hAnsi="Calibri" w:cs="Calibri"/>
                <w:b/>
                <w:bCs/>
                <w:sz w:val="18"/>
                <w:szCs w:val="18"/>
              </w:rPr>
              <w:t>8</w:t>
            </w:r>
            <w:r w:rsidR="29E7F69D" w:rsidRPr="00DF20BE">
              <w:rPr>
                <w:rFonts w:ascii="Calibri" w:eastAsia="Times New Roman" w:hAnsi="Calibri" w:cs="Calibri"/>
                <w:b/>
                <w:bCs/>
                <w:sz w:val="18"/>
                <w:szCs w:val="18"/>
              </w:rPr>
              <w:t>%</w:t>
            </w:r>
          </w:p>
        </w:tc>
        <w:tc>
          <w:tcPr>
            <w:tcW w:w="900" w:type="dxa"/>
            <w:shd w:val="clear" w:color="auto" w:fill="auto"/>
            <w:vAlign w:val="center"/>
          </w:tcPr>
          <w:p w14:paraId="0128CC64" w14:textId="54748168" w:rsidR="002B4296" w:rsidRPr="00DF20BE" w:rsidRDefault="478E2346" w:rsidP="4BD80007">
            <w:pPr>
              <w:jc w:val="right"/>
              <w:rPr>
                <w:rFonts w:ascii="Calibri" w:eastAsia="Times New Roman" w:hAnsi="Calibri" w:cs="Calibri"/>
                <w:sz w:val="18"/>
                <w:szCs w:val="18"/>
              </w:rPr>
            </w:pPr>
            <w:r w:rsidRPr="00DF20BE">
              <w:rPr>
                <w:rFonts w:ascii="Calibri" w:eastAsia="Times New Roman" w:hAnsi="Calibri" w:cs="Calibri"/>
                <w:sz w:val="18"/>
                <w:szCs w:val="18"/>
              </w:rPr>
              <w:t>$</w:t>
            </w:r>
            <w:r w:rsidR="00600AEE">
              <w:rPr>
                <w:rFonts w:ascii="Calibri" w:eastAsia="Times New Roman" w:hAnsi="Calibri" w:cs="Calibri"/>
                <w:sz w:val="18"/>
                <w:szCs w:val="18"/>
              </w:rPr>
              <w:t>285,175</w:t>
            </w:r>
          </w:p>
        </w:tc>
        <w:tc>
          <w:tcPr>
            <w:tcW w:w="445" w:type="dxa"/>
            <w:shd w:val="clear" w:color="auto" w:fill="auto"/>
            <w:noWrap/>
            <w:vAlign w:val="center"/>
          </w:tcPr>
          <w:p w14:paraId="1535B7CD" w14:textId="6DCDE856" w:rsidR="002B4296" w:rsidRPr="003B52D4" w:rsidRDefault="003B52D4" w:rsidP="4BD80007">
            <w:pPr>
              <w:jc w:val="right"/>
              <w:rPr>
                <w:rFonts w:ascii="Calibri" w:eastAsia="Times New Roman" w:hAnsi="Calibri" w:cs="Calibri"/>
                <w:b/>
                <w:bCs/>
                <w:color w:val="000000"/>
                <w:sz w:val="18"/>
                <w:szCs w:val="18"/>
              </w:rPr>
            </w:pPr>
            <w:r>
              <w:rPr>
                <w:rFonts w:ascii="Calibri" w:eastAsia="Times New Roman" w:hAnsi="Calibri" w:cs="Calibri"/>
                <w:b/>
                <w:bCs/>
                <w:color w:val="000000" w:themeColor="text1"/>
                <w:sz w:val="18"/>
                <w:szCs w:val="18"/>
              </w:rPr>
              <w:t>4%</w:t>
            </w:r>
          </w:p>
        </w:tc>
      </w:tr>
      <w:tr w:rsidR="00451AE1" w:rsidRPr="00E0186B" w14:paraId="710DE45F" w14:textId="77777777" w:rsidTr="00FC3387">
        <w:trPr>
          <w:trHeight w:val="20"/>
        </w:trPr>
        <w:tc>
          <w:tcPr>
            <w:tcW w:w="805" w:type="dxa"/>
            <w:shd w:val="clear" w:color="auto" w:fill="auto"/>
            <w:vAlign w:val="center"/>
            <w:hideMark/>
          </w:tcPr>
          <w:p w14:paraId="45CA424F" w14:textId="77777777" w:rsidR="002B4296" w:rsidRPr="00E8263C" w:rsidRDefault="002B4296" w:rsidP="002B4296">
            <w:pPr>
              <w:rPr>
                <w:rFonts w:ascii="Calibri" w:eastAsia="Times New Roman" w:hAnsi="Calibri" w:cs="Calibri"/>
                <w:color w:val="000000"/>
                <w:sz w:val="18"/>
                <w:szCs w:val="18"/>
              </w:rPr>
            </w:pPr>
            <w:r w:rsidRPr="00E8263C">
              <w:rPr>
                <w:rFonts w:ascii="Calibri" w:eastAsia="Times New Roman" w:hAnsi="Calibri" w:cs="Calibri"/>
                <w:color w:val="000000"/>
                <w:sz w:val="18"/>
                <w:szCs w:val="18"/>
              </w:rPr>
              <w:t>HOME</w:t>
            </w:r>
          </w:p>
        </w:tc>
        <w:tc>
          <w:tcPr>
            <w:tcW w:w="990" w:type="dxa"/>
            <w:shd w:val="clear" w:color="auto" w:fill="auto"/>
            <w:vAlign w:val="center"/>
          </w:tcPr>
          <w:p w14:paraId="7B5EBC98" w14:textId="357BA3CC" w:rsidR="002B4296" w:rsidRPr="00A75DA5" w:rsidRDefault="281A0145" w:rsidP="1376ECC8">
            <w:pPr>
              <w:jc w:val="right"/>
              <w:rPr>
                <w:rFonts w:ascii="Calibri" w:eastAsia="Times New Roman" w:hAnsi="Calibri" w:cs="Calibri"/>
                <w:color w:val="000000"/>
                <w:sz w:val="18"/>
                <w:szCs w:val="18"/>
              </w:rPr>
            </w:pPr>
            <w:r w:rsidRPr="4BD80007">
              <w:rPr>
                <w:rFonts w:ascii="Calibri" w:eastAsia="Times New Roman" w:hAnsi="Calibri" w:cs="Calibri"/>
                <w:color w:val="000000" w:themeColor="text1"/>
                <w:sz w:val="18"/>
                <w:szCs w:val="18"/>
              </w:rPr>
              <w:t>$2,700,000</w:t>
            </w:r>
          </w:p>
        </w:tc>
        <w:tc>
          <w:tcPr>
            <w:tcW w:w="450" w:type="dxa"/>
            <w:shd w:val="clear" w:color="auto" w:fill="auto"/>
            <w:vAlign w:val="center"/>
          </w:tcPr>
          <w:p w14:paraId="7C7602A2" w14:textId="00DEB4B2" w:rsidR="002B4296" w:rsidRPr="00A75DA5" w:rsidRDefault="4076BDD9" w:rsidP="1376ECC8">
            <w:pPr>
              <w:jc w:val="right"/>
              <w:rPr>
                <w:rFonts w:ascii="Calibri" w:eastAsia="Times New Roman" w:hAnsi="Calibri" w:cs="Calibri"/>
                <w:b/>
                <w:bCs/>
                <w:sz w:val="18"/>
                <w:szCs w:val="18"/>
              </w:rPr>
            </w:pPr>
            <w:r w:rsidRPr="00A75DA5" w:rsidDel="003A01DB">
              <w:rPr>
                <w:rFonts w:ascii="Calibri" w:eastAsia="Times New Roman" w:hAnsi="Calibri" w:cs="Calibri"/>
                <w:b/>
                <w:bCs/>
                <w:sz w:val="18"/>
                <w:szCs w:val="18"/>
              </w:rPr>
              <w:t>90%</w:t>
            </w:r>
          </w:p>
        </w:tc>
        <w:tc>
          <w:tcPr>
            <w:tcW w:w="900" w:type="dxa"/>
            <w:shd w:val="clear" w:color="auto" w:fill="auto"/>
            <w:noWrap/>
            <w:vAlign w:val="center"/>
          </w:tcPr>
          <w:p w14:paraId="565004F3" w14:textId="3F4CD045" w:rsidR="002B4296" w:rsidRPr="00710EF4" w:rsidRDefault="4FAC2F16" w:rsidP="002B4296">
            <w:pPr>
              <w:jc w:val="right"/>
              <w:rPr>
                <w:rFonts w:ascii="Calibri" w:eastAsia="Times New Roman" w:hAnsi="Calibri" w:cs="Calibri"/>
                <w:sz w:val="18"/>
                <w:szCs w:val="18"/>
              </w:rPr>
            </w:pPr>
            <w:r w:rsidRPr="1376ECC8" w:rsidDel="003A01DB">
              <w:rPr>
                <w:rFonts w:ascii="Calibri" w:eastAsia="Times New Roman" w:hAnsi="Calibri" w:cs="Calibri"/>
                <w:sz w:val="18"/>
                <w:szCs w:val="18"/>
              </w:rPr>
              <w:t>$0</w:t>
            </w:r>
          </w:p>
        </w:tc>
        <w:tc>
          <w:tcPr>
            <w:tcW w:w="360" w:type="dxa"/>
            <w:shd w:val="clear" w:color="auto" w:fill="auto"/>
            <w:vAlign w:val="center"/>
          </w:tcPr>
          <w:p w14:paraId="56DAC11B" w14:textId="3EC8FADD" w:rsidR="002B4296" w:rsidRPr="00710EF4" w:rsidRDefault="4FAC2F16" w:rsidP="1376ECC8">
            <w:pPr>
              <w:jc w:val="right"/>
              <w:rPr>
                <w:rFonts w:ascii="Calibri" w:eastAsia="Times New Roman" w:hAnsi="Calibri" w:cs="Calibri"/>
                <w:b/>
                <w:bCs/>
                <w:sz w:val="18"/>
                <w:szCs w:val="18"/>
              </w:rPr>
            </w:pPr>
            <w:r w:rsidRPr="1376ECC8" w:rsidDel="003A01DB">
              <w:rPr>
                <w:rFonts w:ascii="Calibri" w:eastAsia="Times New Roman" w:hAnsi="Calibri" w:cs="Calibri"/>
                <w:b/>
                <w:bCs/>
                <w:sz w:val="18"/>
                <w:szCs w:val="18"/>
              </w:rPr>
              <w:t>0%</w:t>
            </w:r>
          </w:p>
        </w:tc>
        <w:tc>
          <w:tcPr>
            <w:tcW w:w="990" w:type="dxa"/>
            <w:shd w:val="clear" w:color="auto" w:fill="auto"/>
            <w:noWrap/>
            <w:vAlign w:val="center"/>
          </w:tcPr>
          <w:p w14:paraId="212F190E" w14:textId="501E8B0B" w:rsidR="002B4296" w:rsidRPr="00710EF4" w:rsidRDefault="4FAC2F16" w:rsidP="002B4296">
            <w:pPr>
              <w:jc w:val="right"/>
              <w:rPr>
                <w:rFonts w:ascii="Calibri" w:eastAsia="Times New Roman" w:hAnsi="Calibri" w:cs="Calibri"/>
                <w:sz w:val="18"/>
                <w:szCs w:val="18"/>
              </w:rPr>
            </w:pPr>
            <w:r w:rsidRPr="1376ECC8" w:rsidDel="003A01DB">
              <w:rPr>
                <w:rFonts w:ascii="Calibri" w:eastAsia="Times New Roman" w:hAnsi="Calibri" w:cs="Calibri"/>
                <w:sz w:val="18"/>
                <w:szCs w:val="18"/>
              </w:rPr>
              <w:t>$0</w:t>
            </w:r>
          </w:p>
        </w:tc>
        <w:tc>
          <w:tcPr>
            <w:tcW w:w="540" w:type="dxa"/>
            <w:shd w:val="clear" w:color="auto" w:fill="auto"/>
            <w:vAlign w:val="center"/>
          </w:tcPr>
          <w:p w14:paraId="26E0E54F" w14:textId="5BC92F0A" w:rsidR="002B4296" w:rsidRPr="00710EF4" w:rsidRDefault="4FAC2F16" w:rsidP="1376ECC8">
            <w:pPr>
              <w:jc w:val="right"/>
              <w:rPr>
                <w:rFonts w:ascii="Calibri" w:eastAsia="Times New Roman" w:hAnsi="Calibri" w:cs="Calibri"/>
                <w:b/>
                <w:bCs/>
                <w:sz w:val="18"/>
                <w:szCs w:val="18"/>
              </w:rPr>
            </w:pPr>
            <w:r w:rsidRPr="1376ECC8" w:rsidDel="003A01DB">
              <w:rPr>
                <w:rFonts w:ascii="Calibri" w:eastAsia="Times New Roman" w:hAnsi="Calibri" w:cs="Calibri"/>
                <w:b/>
                <w:bCs/>
                <w:sz w:val="18"/>
                <w:szCs w:val="18"/>
              </w:rPr>
              <w:t>0%</w:t>
            </w:r>
          </w:p>
        </w:tc>
        <w:tc>
          <w:tcPr>
            <w:tcW w:w="990" w:type="dxa"/>
            <w:shd w:val="clear" w:color="auto" w:fill="auto"/>
            <w:vAlign w:val="center"/>
          </w:tcPr>
          <w:p w14:paraId="1CC9DC85" w14:textId="7851236E" w:rsidR="002B4296" w:rsidRPr="00710EF4" w:rsidRDefault="4FAC2F16" w:rsidP="002B4296">
            <w:pPr>
              <w:jc w:val="right"/>
              <w:rPr>
                <w:rFonts w:ascii="Calibri" w:eastAsia="Times New Roman" w:hAnsi="Calibri" w:cs="Calibri"/>
                <w:sz w:val="18"/>
                <w:szCs w:val="18"/>
              </w:rPr>
            </w:pPr>
            <w:r w:rsidRPr="1376ECC8" w:rsidDel="003A01DB">
              <w:rPr>
                <w:rFonts w:ascii="Calibri" w:eastAsia="Times New Roman" w:hAnsi="Calibri" w:cs="Calibri"/>
                <w:sz w:val="18"/>
                <w:szCs w:val="18"/>
              </w:rPr>
              <w:t>$0 </w:t>
            </w:r>
          </w:p>
        </w:tc>
        <w:tc>
          <w:tcPr>
            <w:tcW w:w="450" w:type="dxa"/>
            <w:shd w:val="clear" w:color="auto" w:fill="auto"/>
            <w:vAlign w:val="center"/>
          </w:tcPr>
          <w:p w14:paraId="071DA579" w14:textId="175378E2" w:rsidR="002B4296" w:rsidRPr="00710EF4" w:rsidRDefault="4FAC2F16" w:rsidP="1376ECC8">
            <w:pPr>
              <w:jc w:val="right"/>
              <w:rPr>
                <w:rFonts w:ascii="Calibri" w:eastAsia="Times New Roman" w:hAnsi="Calibri" w:cs="Calibri"/>
                <w:b/>
                <w:bCs/>
                <w:sz w:val="18"/>
                <w:szCs w:val="18"/>
              </w:rPr>
            </w:pPr>
            <w:r w:rsidRPr="1376ECC8" w:rsidDel="003A01DB">
              <w:rPr>
                <w:rFonts w:ascii="Calibri" w:eastAsia="Times New Roman" w:hAnsi="Calibri" w:cs="Calibri"/>
                <w:b/>
                <w:bCs/>
                <w:sz w:val="18"/>
                <w:szCs w:val="18"/>
              </w:rPr>
              <w:t>0%</w:t>
            </w:r>
          </w:p>
        </w:tc>
        <w:tc>
          <w:tcPr>
            <w:tcW w:w="1080" w:type="dxa"/>
            <w:shd w:val="clear" w:color="auto" w:fill="auto"/>
            <w:vAlign w:val="center"/>
          </w:tcPr>
          <w:p w14:paraId="1761CD8E" w14:textId="7EEE4ED7" w:rsidR="002B4296" w:rsidRPr="00A75DA5" w:rsidRDefault="4823A522" w:rsidP="1376ECC8">
            <w:pPr>
              <w:jc w:val="right"/>
              <w:rPr>
                <w:rFonts w:ascii="Calibri" w:eastAsia="Times New Roman" w:hAnsi="Calibri" w:cs="Calibri"/>
                <w:sz w:val="18"/>
                <w:szCs w:val="18"/>
              </w:rPr>
            </w:pPr>
            <w:r w:rsidRPr="00A75DA5" w:rsidDel="003A01DB">
              <w:rPr>
                <w:rFonts w:ascii="Calibri" w:eastAsia="Times New Roman" w:hAnsi="Calibri" w:cs="Calibri"/>
                <w:sz w:val="18"/>
                <w:szCs w:val="18"/>
              </w:rPr>
              <w:t>$</w:t>
            </w:r>
            <w:r w:rsidR="52DC8AD8" w:rsidRPr="00A75DA5" w:rsidDel="003A01DB">
              <w:rPr>
                <w:rFonts w:ascii="Calibri" w:eastAsia="Times New Roman" w:hAnsi="Calibri" w:cs="Calibri"/>
                <w:sz w:val="18"/>
                <w:szCs w:val="18"/>
              </w:rPr>
              <w:t>0</w:t>
            </w:r>
          </w:p>
        </w:tc>
        <w:tc>
          <w:tcPr>
            <w:tcW w:w="450" w:type="dxa"/>
            <w:shd w:val="clear" w:color="auto" w:fill="auto"/>
            <w:vAlign w:val="center"/>
          </w:tcPr>
          <w:p w14:paraId="1E1775B6" w14:textId="70AE6C51" w:rsidR="002B4296" w:rsidRPr="00B03461" w:rsidRDefault="032177A9" w:rsidP="1376ECC8">
            <w:pPr>
              <w:jc w:val="right"/>
              <w:rPr>
                <w:rFonts w:ascii="Calibri" w:eastAsia="Calibri" w:hAnsi="Calibri" w:cs="Calibri"/>
                <w:sz w:val="18"/>
                <w:szCs w:val="18"/>
              </w:rPr>
            </w:pPr>
            <w:r w:rsidRPr="00A75DA5" w:rsidDel="003A01DB">
              <w:rPr>
                <w:rFonts w:ascii="Calibri" w:eastAsia="Times New Roman" w:hAnsi="Calibri" w:cs="Calibri"/>
                <w:b/>
                <w:bCs/>
                <w:sz w:val="18"/>
                <w:szCs w:val="18"/>
              </w:rPr>
              <w:t>0%</w:t>
            </w:r>
          </w:p>
        </w:tc>
        <w:tc>
          <w:tcPr>
            <w:tcW w:w="900" w:type="dxa"/>
            <w:shd w:val="clear" w:color="auto" w:fill="auto"/>
            <w:vAlign w:val="center"/>
          </w:tcPr>
          <w:p w14:paraId="050B98A5" w14:textId="257256BC" w:rsidR="002B4296" w:rsidRPr="00710EF4" w:rsidRDefault="547D1664" w:rsidP="002B4296">
            <w:pPr>
              <w:jc w:val="right"/>
              <w:rPr>
                <w:rFonts w:ascii="Calibri" w:eastAsia="Times New Roman" w:hAnsi="Calibri" w:cs="Calibri"/>
                <w:sz w:val="18"/>
                <w:szCs w:val="18"/>
              </w:rPr>
            </w:pPr>
            <w:r w:rsidRPr="12909959">
              <w:rPr>
                <w:rFonts w:ascii="Calibri" w:eastAsia="Times New Roman" w:hAnsi="Calibri" w:cs="Calibri"/>
                <w:sz w:val="18"/>
                <w:szCs w:val="18"/>
              </w:rPr>
              <w:t>$300,000</w:t>
            </w:r>
          </w:p>
        </w:tc>
        <w:tc>
          <w:tcPr>
            <w:tcW w:w="445" w:type="dxa"/>
            <w:shd w:val="clear" w:color="auto" w:fill="auto"/>
            <w:noWrap/>
            <w:vAlign w:val="center"/>
          </w:tcPr>
          <w:p w14:paraId="28EB9708" w14:textId="02704D3C" w:rsidR="002B4296" w:rsidRPr="00710EF4" w:rsidRDefault="002B4296" w:rsidP="002B4296">
            <w:pPr>
              <w:jc w:val="right"/>
              <w:rPr>
                <w:rFonts w:ascii="Calibri" w:eastAsia="Times New Roman" w:hAnsi="Calibri" w:cs="Calibri"/>
                <w:b/>
                <w:color w:val="000000"/>
                <w:sz w:val="18"/>
                <w:szCs w:val="18"/>
              </w:rPr>
            </w:pPr>
            <w:r w:rsidRPr="12909959" w:rsidDel="003A01DB">
              <w:rPr>
                <w:rFonts w:ascii="Calibri" w:eastAsia="Times New Roman" w:hAnsi="Calibri" w:cs="Calibri"/>
                <w:b/>
                <w:color w:val="000000" w:themeColor="text1"/>
                <w:sz w:val="18"/>
                <w:szCs w:val="18"/>
              </w:rPr>
              <w:t>10%</w:t>
            </w:r>
          </w:p>
        </w:tc>
      </w:tr>
      <w:tr w:rsidR="00710EF4" w:rsidRPr="00E0186B" w14:paraId="4A85C114" w14:textId="77777777" w:rsidTr="16663A5A">
        <w:trPr>
          <w:trHeight w:val="20"/>
        </w:trPr>
        <w:tc>
          <w:tcPr>
            <w:tcW w:w="805" w:type="dxa"/>
            <w:shd w:val="clear" w:color="auto" w:fill="auto"/>
            <w:vAlign w:val="center"/>
            <w:hideMark/>
          </w:tcPr>
          <w:p w14:paraId="3CFF01E1" w14:textId="77777777" w:rsidR="002B4296" w:rsidRPr="00E8263C" w:rsidRDefault="002B4296" w:rsidP="002B4296">
            <w:pPr>
              <w:rPr>
                <w:rFonts w:ascii="Calibri" w:eastAsia="Times New Roman" w:hAnsi="Calibri" w:cs="Calibri"/>
                <w:color w:val="000000"/>
                <w:sz w:val="18"/>
                <w:szCs w:val="18"/>
              </w:rPr>
            </w:pPr>
            <w:r w:rsidRPr="00E8263C">
              <w:rPr>
                <w:rFonts w:ascii="Calibri" w:eastAsia="Times New Roman" w:hAnsi="Calibri" w:cs="Calibri"/>
                <w:color w:val="000000"/>
                <w:sz w:val="18"/>
                <w:szCs w:val="18"/>
              </w:rPr>
              <w:t>HOPWA</w:t>
            </w:r>
          </w:p>
        </w:tc>
        <w:tc>
          <w:tcPr>
            <w:tcW w:w="8545" w:type="dxa"/>
            <w:gridSpan w:val="12"/>
            <w:shd w:val="clear" w:color="auto" w:fill="auto"/>
            <w:vAlign w:val="center"/>
          </w:tcPr>
          <w:p w14:paraId="1DF7E7D6" w14:textId="748A44F3" w:rsidR="002B4296" w:rsidRPr="00710EF4" w:rsidRDefault="4FD0D2DD" w:rsidP="002B4296">
            <w:pPr>
              <w:rPr>
                <w:rFonts w:ascii="Calibri" w:eastAsia="Times New Roman" w:hAnsi="Calibri" w:cs="Calibri"/>
                <w:color w:val="000000"/>
                <w:sz w:val="18"/>
                <w:szCs w:val="18"/>
              </w:rPr>
            </w:pPr>
            <w:r w:rsidRPr="6BAB5C2E">
              <w:rPr>
                <w:rFonts w:ascii="Calibri" w:eastAsia="Times New Roman" w:hAnsi="Calibri" w:cs="Calibri"/>
                <w:color w:val="000000" w:themeColor="text1"/>
                <w:sz w:val="18"/>
                <w:szCs w:val="18"/>
              </w:rPr>
              <w:t>N/A</w:t>
            </w:r>
          </w:p>
        </w:tc>
      </w:tr>
      <w:tr w:rsidR="00451AE1" w:rsidRPr="00E0186B" w14:paraId="1CDFD953" w14:textId="77777777" w:rsidTr="00FC3387">
        <w:trPr>
          <w:trHeight w:val="20"/>
        </w:trPr>
        <w:tc>
          <w:tcPr>
            <w:tcW w:w="805" w:type="dxa"/>
            <w:shd w:val="clear" w:color="auto" w:fill="auto"/>
            <w:vAlign w:val="center"/>
            <w:hideMark/>
          </w:tcPr>
          <w:p w14:paraId="084CE8EC" w14:textId="77777777" w:rsidR="002B4296" w:rsidRPr="00E8263C" w:rsidRDefault="002B4296" w:rsidP="002B4296">
            <w:pPr>
              <w:rPr>
                <w:rFonts w:ascii="Calibri" w:eastAsia="Times New Roman" w:hAnsi="Calibri" w:cs="Calibri"/>
                <w:color w:val="000000"/>
                <w:sz w:val="18"/>
                <w:szCs w:val="18"/>
              </w:rPr>
            </w:pPr>
            <w:r w:rsidRPr="00E8263C">
              <w:rPr>
                <w:rFonts w:ascii="Calibri" w:eastAsia="Times New Roman" w:hAnsi="Calibri" w:cs="Calibri"/>
                <w:color w:val="000000"/>
                <w:sz w:val="18"/>
                <w:szCs w:val="18"/>
              </w:rPr>
              <w:t>ESG</w:t>
            </w:r>
          </w:p>
        </w:tc>
        <w:tc>
          <w:tcPr>
            <w:tcW w:w="990" w:type="dxa"/>
            <w:shd w:val="clear" w:color="auto" w:fill="auto"/>
            <w:noWrap/>
            <w:vAlign w:val="center"/>
          </w:tcPr>
          <w:p w14:paraId="0990523F" w14:textId="7FA9B61B" w:rsidR="002B4296" w:rsidRPr="003B52D4" w:rsidRDefault="00DC4856" w:rsidP="4BD80007">
            <w:pPr>
              <w:jc w:val="right"/>
              <w:rPr>
                <w:rFonts w:ascii="Calibri" w:eastAsia="Times New Roman" w:hAnsi="Calibri" w:cs="Calibri"/>
                <w:color w:val="000000"/>
                <w:sz w:val="18"/>
                <w:szCs w:val="18"/>
              </w:rPr>
            </w:pPr>
            <w:r w:rsidRPr="00451AE1">
              <w:rPr>
                <w:rFonts w:ascii="Calibri" w:eastAsia="Times New Roman" w:hAnsi="Calibri" w:cs="Calibri"/>
                <w:color w:val="000000" w:themeColor="text1"/>
                <w:sz w:val="18"/>
                <w:szCs w:val="18"/>
              </w:rPr>
              <w:t>$0</w:t>
            </w:r>
          </w:p>
        </w:tc>
        <w:tc>
          <w:tcPr>
            <w:tcW w:w="450" w:type="dxa"/>
            <w:shd w:val="clear" w:color="auto" w:fill="auto"/>
            <w:vAlign w:val="center"/>
          </w:tcPr>
          <w:p w14:paraId="00AFEA52" w14:textId="69568C0D" w:rsidR="002B4296" w:rsidRPr="00451AE1" w:rsidRDefault="00DC4856" w:rsidP="4BD80007">
            <w:pPr>
              <w:jc w:val="right"/>
              <w:rPr>
                <w:rFonts w:ascii="Calibri" w:eastAsia="Times New Roman" w:hAnsi="Calibri" w:cs="Calibri"/>
                <w:b/>
                <w:bCs/>
                <w:sz w:val="18"/>
                <w:szCs w:val="18"/>
              </w:rPr>
            </w:pPr>
            <w:r w:rsidRPr="00451AE1">
              <w:rPr>
                <w:rFonts w:ascii="Calibri" w:eastAsia="Times New Roman" w:hAnsi="Calibri" w:cs="Calibri"/>
                <w:b/>
                <w:bCs/>
                <w:sz w:val="18"/>
                <w:szCs w:val="18"/>
              </w:rPr>
              <w:t>0%</w:t>
            </w:r>
          </w:p>
        </w:tc>
        <w:tc>
          <w:tcPr>
            <w:tcW w:w="900" w:type="dxa"/>
            <w:shd w:val="clear" w:color="auto" w:fill="auto"/>
            <w:noWrap/>
            <w:vAlign w:val="center"/>
          </w:tcPr>
          <w:p w14:paraId="77BCFE70" w14:textId="0FBCB09C" w:rsidR="002B4296" w:rsidRPr="00451AE1" w:rsidRDefault="00DC4856" w:rsidP="4BD80007">
            <w:pPr>
              <w:jc w:val="right"/>
              <w:rPr>
                <w:rFonts w:ascii="Calibri" w:eastAsia="Times New Roman" w:hAnsi="Calibri" w:cs="Calibri"/>
                <w:sz w:val="18"/>
                <w:szCs w:val="18"/>
              </w:rPr>
            </w:pPr>
            <w:r w:rsidRPr="00451AE1">
              <w:rPr>
                <w:rFonts w:ascii="Calibri" w:eastAsia="Times New Roman" w:hAnsi="Calibri" w:cs="Calibri"/>
                <w:sz w:val="18"/>
                <w:szCs w:val="18"/>
              </w:rPr>
              <w:t>$0</w:t>
            </w:r>
          </w:p>
        </w:tc>
        <w:tc>
          <w:tcPr>
            <w:tcW w:w="360" w:type="dxa"/>
            <w:shd w:val="clear" w:color="auto" w:fill="auto"/>
            <w:vAlign w:val="center"/>
          </w:tcPr>
          <w:p w14:paraId="287A06CD" w14:textId="14D30B0E" w:rsidR="002B4296" w:rsidRPr="00451AE1" w:rsidRDefault="00DC4856" w:rsidP="4BD80007">
            <w:pPr>
              <w:jc w:val="right"/>
              <w:rPr>
                <w:rFonts w:ascii="Calibri" w:eastAsia="Times New Roman" w:hAnsi="Calibri" w:cs="Calibri"/>
                <w:b/>
                <w:bCs/>
                <w:sz w:val="18"/>
                <w:szCs w:val="18"/>
              </w:rPr>
            </w:pPr>
            <w:r w:rsidRPr="00451AE1">
              <w:rPr>
                <w:rFonts w:ascii="Calibri" w:eastAsia="Times New Roman" w:hAnsi="Calibri" w:cs="Calibri"/>
                <w:b/>
                <w:bCs/>
                <w:sz w:val="18"/>
                <w:szCs w:val="18"/>
              </w:rPr>
              <w:t>0%</w:t>
            </w:r>
          </w:p>
        </w:tc>
        <w:tc>
          <w:tcPr>
            <w:tcW w:w="990" w:type="dxa"/>
            <w:shd w:val="clear" w:color="auto" w:fill="auto"/>
            <w:noWrap/>
            <w:vAlign w:val="center"/>
          </w:tcPr>
          <w:p w14:paraId="6C63AC14" w14:textId="18DFE87C" w:rsidR="002B4296" w:rsidRPr="00451AE1" w:rsidRDefault="00DC4856" w:rsidP="4BD80007">
            <w:pPr>
              <w:jc w:val="right"/>
              <w:rPr>
                <w:rFonts w:ascii="Calibri" w:eastAsia="Times New Roman" w:hAnsi="Calibri" w:cs="Calibri"/>
                <w:sz w:val="18"/>
                <w:szCs w:val="18"/>
              </w:rPr>
            </w:pPr>
            <w:r w:rsidRPr="00451AE1">
              <w:rPr>
                <w:rFonts w:ascii="Calibri" w:eastAsia="Times New Roman" w:hAnsi="Calibri" w:cs="Calibri"/>
                <w:sz w:val="18"/>
                <w:szCs w:val="18"/>
              </w:rPr>
              <w:t>$0</w:t>
            </w:r>
          </w:p>
        </w:tc>
        <w:tc>
          <w:tcPr>
            <w:tcW w:w="540" w:type="dxa"/>
            <w:shd w:val="clear" w:color="auto" w:fill="auto"/>
            <w:vAlign w:val="center"/>
          </w:tcPr>
          <w:p w14:paraId="46CD71A7" w14:textId="262BD7A3" w:rsidR="002B4296" w:rsidRPr="00451AE1" w:rsidRDefault="00DC4856" w:rsidP="4BD80007">
            <w:pPr>
              <w:jc w:val="right"/>
              <w:rPr>
                <w:rFonts w:ascii="Calibri" w:eastAsia="Times New Roman" w:hAnsi="Calibri" w:cs="Calibri"/>
                <w:b/>
                <w:bCs/>
                <w:sz w:val="18"/>
                <w:szCs w:val="18"/>
              </w:rPr>
            </w:pPr>
            <w:r w:rsidRPr="00451AE1">
              <w:rPr>
                <w:rFonts w:ascii="Calibri" w:eastAsia="Times New Roman" w:hAnsi="Calibri" w:cs="Calibri"/>
                <w:b/>
                <w:bCs/>
                <w:sz w:val="18"/>
                <w:szCs w:val="18"/>
              </w:rPr>
              <w:t>0%</w:t>
            </w:r>
          </w:p>
        </w:tc>
        <w:tc>
          <w:tcPr>
            <w:tcW w:w="990" w:type="dxa"/>
            <w:shd w:val="clear" w:color="auto" w:fill="auto"/>
            <w:noWrap/>
            <w:vAlign w:val="center"/>
          </w:tcPr>
          <w:p w14:paraId="528DED35" w14:textId="2B33D33D" w:rsidR="002B4296" w:rsidRPr="00451AE1" w:rsidRDefault="00DC4856" w:rsidP="4BD80007">
            <w:pPr>
              <w:jc w:val="right"/>
              <w:rPr>
                <w:rFonts w:ascii="Calibri" w:eastAsia="Times New Roman" w:hAnsi="Calibri" w:cs="Calibri"/>
                <w:sz w:val="18"/>
                <w:szCs w:val="18"/>
              </w:rPr>
            </w:pPr>
            <w:r w:rsidRPr="00451AE1">
              <w:rPr>
                <w:rFonts w:ascii="Calibri" w:eastAsia="Times New Roman" w:hAnsi="Calibri" w:cs="Calibri"/>
                <w:sz w:val="18"/>
                <w:szCs w:val="18"/>
              </w:rPr>
              <w:t>$0</w:t>
            </w:r>
          </w:p>
        </w:tc>
        <w:tc>
          <w:tcPr>
            <w:tcW w:w="450" w:type="dxa"/>
            <w:shd w:val="clear" w:color="auto" w:fill="auto"/>
            <w:vAlign w:val="center"/>
          </w:tcPr>
          <w:p w14:paraId="29D1E66B" w14:textId="2AF602E6" w:rsidR="002B4296" w:rsidRPr="00451AE1" w:rsidRDefault="00DC4856" w:rsidP="4BD80007">
            <w:pPr>
              <w:jc w:val="right"/>
              <w:rPr>
                <w:rFonts w:ascii="Calibri" w:eastAsia="Times New Roman" w:hAnsi="Calibri" w:cs="Calibri"/>
                <w:b/>
                <w:bCs/>
                <w:sz w:val="18"/>
                <w:szCs w:val="18"/>
              </w:rPr>
            </w:pPr>
            <w:r w:rsidRPr="00451AE1">
              <w:rPr>
                <w:rFonts w:ascii="Calibri" w:eastAsia="Times New Roman" w:hAnsi="Calibri" w:cs="Calibri"/>
                <w:b/>
                <w:bCs/>
                <w:sz w:val="18"/>
                <w:szCs w:val="18"/>
              </w:rPr>
              <w:t>0%</w:t>
            </w:r>
          </w:p>
        </w:tc>
        <w:tc>
          <w:tcPr>
            <w:tcW w:w="1080" w:type="dxa"/>
            <w:shd w:val="clear" w:color="auto" w:fill="auto"/>
            <w:vAlign w:val="center"/>
          </w:tcPr>
          <w:p w14:paraId="74815A61" w14:textId="189ACB1E" w:rsidR="002B4296" w:rsidRPr="00451AE1" w:rsidRDefault="00DC4856" w:rsidP="4BD80007">
            <w:pPr>
              <w:jc w:val="right"/>
              <w:rPr>
                <w:rFonts w:ascii="Calibri" w:eastAsia="Times New Roman" w:hAnsi="Calibri" w:cs="Calibri"/>
                <w:sz w:val="18"/>
                <w:szCs w:val="18"/>
              </w:rPr>
            </w:pPr>
            <w:r w:rsidRPr="00451AE1">
              <w:rPr>
                <w:rFonts w:ascii="Calibri" w:eastAsia="Times New Roman" w:hAnsi="Calibri" w:cs="Calibri"/>
                <w:sz w:val="18"/>
                <w:szCs w:val="18"/>
              </w:rPr>
              <w:t>$</w:t>
            </w:r>
            <w:r w:rsidR="00FC3387">
              <w:rPr>
                <w:rFonts w:ascii="Calibri" w:eastAsia="Times New Roman" w:hAnsi="Calibri" w:cs="Calibri"/>
                <w:sz w:val="18"/>
                <w:szCs w:val="18"/>
              </w:rPr>
              <w:t>684,864.56</w:t>
            </w:r>
          </w:p>
        </w:tc>
        <w:tc>
          <w:tcPr>
            <w:tcW w:w="450" w:type="dxa"/>
            <w:shd w:val="clear" w:color="auto" w:fill="auto"/>
            <w:vAlign w:val="center"/>
          </w:tcPr>
          <w:p w14:paraId="21752E55" w14:textId="7512C6C6" w:rsidR="002B4296" w:rsidRPr="00451AE1" w:rsidRDefault="00DC4856" w:rsidP="4BD80007">
            <w:pPr>
              <w:jc w:val="right"/>
              <w:rPr>
                <w:rFonts w:ascii="Calibri" w:eastAsia="Times New Roman" w:hAnsi="Calibri" w:cs="Calibri"/>
                <w:b/>
                <w:bCs/>
                <w:sz w:val="18"/>
                <w:szCs w:val="18"/>
              </w:rPr>
            </w:pPr>
            <w:r w:rsidRPr="00451AE1">
              <w:rPr>
                <w:rFonts w:ascii="Calibri" w:eastAsia="Times New Roman" w:hAnsi="Calibri" w:cs="Calibri"/>
                <w:b/>
                <w:bCs/>
                <w:sz w:val="18"/>
                <w:szCs w:val="18"/>
              </w:rPr>
              <w:t>92%</w:t>
            </w:r>
          </w:p>
        </w:tc>
        <w:tc>
          <w:tcPr>
            <w:tcW w:w="900" w:type="dxa"/>
            <w:shd w:val="clear" w:color="auto" w:fill="auto"/>
            <w:noWrap/>
            <w:vAlign w:val="center"/>
          </w:tcPr>
          <w:p w14:paraId="277F265B" w14:textId="7ECEC92B" w:rsidR="002B4296" w:rsidRPr="00451AE1" w:rsidRDefault="00DC4856" w:rsidP="4BD80007">
            <w:pPr>
              <w:jc w:val="right"/>
              <w:rPr>
                <w:rFonts w:ascii="Calibri" w:eastAsia="Times New Roman" w:hAnsi="Calibri" w:cs="Calibri"/>
                <w:sz w:val="18"/>
                <w:szCs w:val="18"/>
              </w:rPr>
            </w:pPr>
            <w:r w:rsidRPr="00451AE1">
              <w:rPr>
                <w:rFonts w:ascii="Calibri" w:eastAsia="Times New Roman" w:hAnsi="Calibri" w:cs="Calibri"/>
                <w:sz w:val="18"/>
                <w:szCs w:val="18"/>
              </w:rPr>
              <w:t>$</w:t>
            </w:r>
            <w:r w:rsidR="00FC3387">
              <w:rPr>
                <w:rFonts w:ascii="Calibri" w:eastAsia="Times New Roman" w:hAnsi="Calibri" w:cs="Calibri"/>
                <w:sz w:val="18"/>
                <w:szCs w:val="18"/>
              </w:rPr>
              <w:t>59,553.44</w:t>
            </w:r>
          </w:p>
        </w:tc>
        <w:tc>
          <w:tcPr>
            <w:tcW w:w="445" w:type="dxa"/>
            <w:shd w:val="clear" w:color="auto" w:fill="auto"/>
            <w:noWrap/>
            <w:vAlign w:val="center"/>
          </w:tcPr>
          <w:p w14:paraId="53EF42BB" w14:textId="78277389" w:rsidR="002B4296" w:rsidRPr="003B52D4" w:rsidRDefault="00DC4856" w:rsidP="6EE14823">
            <w:pPr>
              <w:jc w:val="right"/>
              <w:rPr>
                <w:rFonts w:ascii="Calibri" w:eastAsia="Times New Roman" w:hAnsi="Calibri" w:cs="Calibri"/>
                <w:b/>
                <w:bCs/>
                <w:color w:val="000000"/>
                <w:sz w:val="18"/>
                <w:szCs w:val="18"/>
              </w:rPr>
            </w:pPr>
            <w:r w:rsidRPr="00451AE1">
              <w:rPr>
                <w:rFonts w:ascii="Calibri" w:eastAsia="Times New Roman" w:hAnsi="Calibri" w:cs="Calibri"/>
                <w:b/>
                <w:bCs/>
                <w:color w:val="000000" w:themeColor="text1"/>
                <w:sz w:val="18"/>
                <w:szCs w:val="18"/>
              </w:rPr>
              <w:t>8%</w:t>
            </w:r>
          </w:p>
        </w:tc>
      </w:tr>
      <w:tr w:rsidR="00451AE1" w:rsidRPr="00E0186B" w14:paraId="1BCDD453" w14:textId="77777777" w:rsidTr="00FC3387">
        <w:trPr>
          <w:trHeight w:val="20"/>
        </w:trPr>
        <w:tc>
          <w:tcPr>
            <w:tcW w:w="805" w:type="dxa"/>
            <w:shd w:val="clear" w:color="auto" w:fill="auto"/>
            <w:vAlign w:val="center"/>
            <w:hideMark/>
          </w:tcPr>
          <w:p w14:paraId="52A11360" w14:textId="77777777" w:rsidR="00D1589B" w:rsidRPr="00E8263C" w:rsidRDefault="00D1589B" w:rsidP="00D1589B">
            <w:pPr>
              <w:rPr>
                <w:rFonts w:ascii="Calibri" w:eastAsia="Times New Roman" w:hAnsi="Calibri" w:cs="Calibri"/>
                <w:color w:val="000000"/>
                <w:sz w:val="18"/>
                <w:szCs w:val="18"/>
              </w:rPr>
            </w:pPr>
            <w:r w:rsidRPr="00E8263C">
              <w:rPr>
                <w:rFonts w:ascii="Calibri" w:eastAsia="Times New Roman" w:hAnsi="Calibri" w:cs="Calibri"/>
                <w:color w:val="000000"/>
                <w:sz w:val="18"/>
                <w:szCs w:val="18"/>
              </w:rPr>
              <w:t>HTF</w:t>
            </w:r>
          </w:p>
        </w:tc>
        <w:tc>
          <w:tcPr>
            <w:tcW w:w="990" w:type="dxa"/>
            <w:shd w:val="clear" w:color="auto" w:fill="auto"/>
            <w:vAlign w:val="center"/>
          </w:tcPr>
          <w:p w14:paraId="08713BFF" w14:textId="070C53F6" w:rsidR="00D1589B" w:rsidRPr="00710EF4" w:rsidRDefault="5019361C" w:rsidP="00D1589B">
            <w:pPr>
              <w:jc w:val="right"/>
              <w:rPr>
                <w:rFonts w:ascii="Calibri" w:eastAsia="Calibri" w:hAnsi="Calibri" w:cs="Calibri"/>
                <w:sz w:val="18"/>
                <w:szCs w:val="18"/>
              </w:rPr>
            </w:pPr>
            <w:r w:rsidRPr="4BD80007">
              <w:rPr>
                <w:rFonts w:ascii="Calibri" w:eastAsia="Times New Roman" w:hAnsi="Calibri" w:cs="Calibri"/>
                <w:color w:val="000000" w:themeColor="text1"/>
                <w:sz w:val="18"/>
                <w:szCs w:val="18"/>
              </w:rPr>
              <w:t>$</w:t>
            </w:r>
            <w:r w:rsidR="288D2553" w:rsidRPr="4BD80007">
              <w:rPr>
                <w:rFonts w:ascii="Calibri" w:eastAsia="Times New Roman" w:hAnsi="Calibri" w:cs="Calibri"/>
                <w:color w:val="000000" w:themeColor="text1"/>
                <w:sz w:val="18"/>
                <w:szCs w:val="18"/>
              </w:rPr>
              <w:t>2,080,350</w:t>
            </w:r>
          </w:p>
        </w:tc>
        <w:tc>
          <w:tcPr>
            <w:tcW w:w="450" w:type="dxa"/>
            <w:shd w:val="clear" w:color="auto" w:fill="auto"/>
            <w:vAlign w:val="center"/>
          </w:tcPr>
          <w:p w14:paraId="7B174B3F" w14:textId="7AA20AEF" w:rsidR="00D1589B" w:rsidRPr="00710EF4" w:rsidRDefault="5BFD0D4A">
            <w:pPr>
              <w:jc w:val="right"/>
              <w:rPr>
                <w:rFonts w:ascii="Calibri" w:eastAsia="Calibri" w:hAnsi="Calibri" w:cs="Calibri"/>
                <w:sz w:val="18"/>
                <w:szCs w:val="18"/>
              </w:rPr>
            </w:pPr>
            <w:r w:rsidRPr="4BD80007">
              <w:rPr>
                <w:rFonts w:ascii="Calibri" w:eastAsia="Times New Roman" w:hAnsi="Calibri" w:cs="Calibri"/>
                <w:b/>
                <w:bCs/>
                <w:sz w:val="18"/>
                <w:szCs w:val="18"/>
              </w:rPr>
              <w:t>66</w:t>
            </w:r>
            <w:r w:rsidR="2C0FAD01" w:rsidRPr="4BD80007">
              <w:rPr>
                <w:rFonts w:ascii="Calibri" w:eastAsia="Times New Roman" w:hAnsi="Calibri" w:cs="Calibri"/>
                <w:b/>
                <w:bCs/>
                <w:sz w:val="18"/>
                <w:szCs w:val="18"/>
              </w:rPr>
              <w:t>%</w:t>
            </w:r>
          </w:p>
        </w:tc>
        <w:tc>
          <w:tcPr>
            <w:tcW w:w="900" w:type="dxa"/>
            <w:shd w:val="clear" w:color="auto" w:fill="auto"/>
            <w:noWrap/>
            <w:vAlign w:val="center"/>
          </w:tcPr>
          <w:p w14:paraId="47AEB722" w14:textId="238CA96B" w:rsidR="00D1589B" w:rsidRPr="00710EF4" w:rsidRDefault="00D1589B" w:rsidP="00D1589B">
            <w:pPr>
              <w:jc w:val="right"/>
              <w:rPr>
                <w:rFonts w:ascii="Calibri" w:eastAsia="Times New Roman" w:hAnsi="Calibri" w:cs="Calibri"/>
                <w:sz w:val="18"/>
                <w:szCs w:val="18"/>
              </w:rPr>
            </w:pPr>
            <w:r w:rsidRPr="1376ECC8" w:rsidDel="003A01DB">
              <w:rPr>
                <w:rFonts w:ascii="Calibri" w:eastAsia="Times New Roman" w:hAnsi="Calibri" w:cs="Calibri"/>
                <w:sz w:val="18"/>
                <w:szCs w:val="18"/>
              </w:rPr>
              <w:t>$0</w:t>
            </w:r>
          </w:p>
        </w:tc>
        <w:tc>
          <w:tcPr>
            <w:tcW w:w="360" w:type="dxa"/>
            <w:shd w:val="clear" w:color="auto" w:fill="auto"/>
            <w:vAlign w:val="center"/>
          </w:tcPr>
          <w:p w14:paraId="14B467F3" w14:textId="43F8316B" w:rsidR="00D1589B" w:rsidRPr="00710EF4" w:rsidRDefault="00D1589B" w:rsidP="1376ECC8">
            <w:pPr>
              <w:jc w:val="right"/>
              <w:rPr>
                <w:rFonts w:ascii="Calibri" w:eastAsia="Times New Roman" w:hAnsi="Calibri" w:cs="Calibri"/>
                <w:b/>
                <w:bCs/>
                <w:sz w:val="18"/>
                <w:szCs w:val="18"/>
              </w:rPr>
            </w:pPr>
            <w:r w:rsidRPr="1376ECC8" w:rsidDel="003A01DB">
              <w:rPr>
                <w:rFonts w:ascii="Calibri" w:eastAsia="Times New Roman" w:hAnsi="Calibri" w:cs="Calibri"/>
                <w:b/>
                <w:bCs/>
                <w:sz w:val="18"/>
                <w:szCs w:val="18"/>
              </w:rPr>
              <w:t>0%</w:t>
            </w:r>
          </w:p>
        </w:tc>
        <w:tc>
          <w:tcPr>
            <w:tcW w:w="990" w:type="dxa"/>
            <w:shd w:val="clear" w:color="auto" w:fill="auto"/>
            <w:noWrap/>
            <w:vAlign w:val="center"/>
          </w:tcPr>
          <w:p w14:paraId="68048B86" w14:textId="71AE3A1C" w:rsidR="00D1589B" w:rsidRPr="00710EF4" w:rsidRDefault="00D1589B" w:rsidP="00D1589B">
            <w:pPr>
              <w:jc w:val="right"/>
              <w:rPr>
                <w:rFonts w:ascii="Calibri" w:eastAsia="Times New Roman" w:hAnsi="Calibri" w:cs="Calibri"/>
                <w:sz w:val="18"/>
                <w:szCs w:val="18"/>
              </w:rPr>
            </w:pPr>
            <w:r w:rsidRPr="1376ECC8" w:rsidDel="003A01DB">
              <w:rPr>
                <w:rFonts w:ascii="Calibri" w:eastAsia="Times New Roman" w:hAnsi="Calibri" w:cs="Calibri"/>
                <w:sz w:val="18"/>
                <w:szCs w:val="18"/>
              </w:rPr>
              <w:t>$0</w:t>
            </w:r>
          </w:p>
        </w:tc>
        <w:tc>
          <w:tcPr>
            <w:tcW w:w="540" w:type="dxa"/>
            <w:shd w:val="clear" w:color="auto" w:fill="auto"/>
            <w:vAlign w:val="center"/>
          </w:tcPr>
          <w:p w14:paraId="11698101" w14:textId="407C0A91" w:rsidR="00D1589B" w:rsidRPr="00710EF4" w:rsidRDefault="00D1589B" w:rsidP="1376ECC8">
            <w:pPr>
              <w:jc w:val="right"/>
              <w:rPr>
                <w:rFonts w:ascii="Calibri" w:eastAsia="Times New Roman" w:hAnsi="Calibri" w:cs="Calibri"/>
                <w:b/>
                <w:bCs/>
                <w:sz w:val="18"/>
                <w:szCs w:val="18"/>
              </w:rPr>
            </w:pPr>
            <w:r w:rsidRPr="1376ECC8" w:rsidDel="003A01DB">
              <w:rPr>
                <w:rFonts w:ascii="Calibri" w:eastAsia="Times New Roman" w:hAnsi="Calibri" w:cs="Calibri"/>
                <w:b/>
                <w:bCs/>
                <w:sz w:val="18"/>
                <w:szCs w:val="18"/>
              </w:rPr>
              <w:t>0%</w:t>
            </w:r>
          </w:p>
        </w:tc>
        <w:tc>
          <w:tcPr>
            <w:tcW w:w="990" w:type="dxa"/>
            <w:shd w:val="clear" w:color="auto" w:fill="auto"/>
            <w:noWrap/>
            <w:vAlign w:val="center"/>
          </w:tcPr>
          <w:p w14:paraId="1786B75E" w14:textId="7117FE19" w:rsidR="00D1589B" w:rsidRPr="00710EF4" w:rsidRDefault="00D1589B" w:rsidP="00D1589B">
            <w:pPr>
              <w:jc w:val="right"/>
              <w:rPr>
                <w:rFonts w:ascii="Calibri" w:eastAsia="Times New Roman" w:hAnsi="Calibri" w:cs="Calibri"/>
                <w:sz w:val="18"/>
                <w:szCs w:val="18"/>
              </w:rPr>
            </w:pPr>
            <w:r w:rsidRPr="1376ECC8" w:rsidDel="003A01DB">
              <w:rPr>
                <w:rFonts w:ascii="Calibri" w:eastAsia="Times New Roman" w:hAnsi="Calibri" w:cs="Calibri"/>
                <w:sz w:val="18"/>
                <w:szCs w:val="18"/>
              </w:rPr>
              <w:t>$0</w:t>
            </w:r>
          </w:p>
        </w:tc>
        <w:tc>
          <w:tcPr>
            <w:tcW w:w="450" w:type="dxa"/>
            <w:shd w:val="clear" w:color="auto" w:fill="auto"/>
            <w:vAlign w:val="center"/>
          </w:tcPr>
          <w:p w14:paraId="263546E0" w14:textId="211D0365" w:rsidR="00D1589B" w:rsidRPr="00710EF4" w:rsidRDefault="00D1589B" w:rsidP="1376ECC8">
            <w:pPr>
              <w:jc w:val="right"/>
              <w:rPr>
                <w:rFonts w:ascii="Calibri" w:eastAsia="Times New Roman" w:hAnsi="Calibri" w:cs="Calibri"/>
                <w:b/>
                <w:bCs/>
                <w:sz w:val="18"/>
                <w:szCs w:val="18"/>
              </w:rPr>
            </w:pPr>
            <w:r w:rsidRPr="1376ECC8" w:rsidDel="003A01DB">
              <w:rPr>
                <w:rFonts w:ascii="Calibri" w:eastAsia="Times New Roman" w:hAnsi="Calibri" w:cs="Calibri"/>
                <w:b/>
                <w:bCs/>
                <w:sz w:val="18"/>
                <w:szCs w:val="18"/>
              </w:rPr>
              <w:t>0%</w:t>
            </w:r>
          </w:p>
        </w:tc>
        <w:tc>
          <w:tcPr>
            <w:tcW w:w="1080" w:type="dxa"/>
            <w:shd w:val="clear" w:color="auto" w:fill="auto"/>
            <w:vAlign w:val="center"/>
          </w:tcPr>
          <w:p w14:paraId="64ECBBEA" w14:textId="2D313BFF" w:rsidR="00D1589B" w:rsidRPr="00710EF4" w:rsidRDefault="4823A522" w:rsidP="00D1589B">
            <w:pPr>
              <w:jc w:val="right"/>
              <w:rPr>
                <w:rFonts w:ascii="Calibri" w:eastAsia="Times New Roman" w:hAnsi="Calibri" w:cs="Calibri"/>
                <w:sz w:val="18"/>
                <w:szCs w:val="18"/>
              </w:rPr>
            </w:pPr>
            <w:r w:rsidRPr="002F4A22" w:rsidDel="003A01DB">
              <w:rPr>
                <w:rFonts w:ascii="Calibri" w:eastAsia="Times New Roman" w:hAnsi="Calibri" w:cs="Calibri"/>
                <w:color w:val="000000" w:themeColor="text1"/>
                <w:sz w:val="18"/>
                <w:szCs w:val="18"/>
              </w:rPr>
              <w:t>$</w:t>
            </w:r>
            <w:r w:rsidR="72CC6018" w:rsidRPr="002F4A22" w:rsidDel="003A01DB">
              <w:rPr>
                <w:rFonts w:ascii="Calibri" w:eastAsia="Times New Roman" w:hAnsi="Calibri" w:cs="Calibri"/>
                <w:color w:val="000000" w:themeColor="text1"/>
                <w:sz w:val="18"/>
                <w:szCs w:val="18"/>
              </w:rPr>
              <w:t>750,000</w:t>
            </w:r>
            <w:r w:rsidR="00393788" w:rsidRPr="002F4A22">
              <w:rPr>
                <w:rFonts w:ascii="Calibri" w:eastAsia="Times New Roman" w:hAnsi="Calibri" w:cs="Calibri"/>
                <w:color w:val="000000" w:themeColor="text1"/>
                <w:sz w:val="18"/>
                <w:szCs w:val="18"/>
              </w:rPr>
              <w:t>.37</w:t>
            </w:r>
          </w:p>
        </w:tc>
        <w:tc>
          <w:tcPr>
            <w:tcW w:w="450" w:type="dxa"/>
            <w:shd w:val="clear" w:color="auto" w:fill="auto"/>
            <w:vAlign w:val="center"/>
          </w:tcPr>
          <w:p w14:paraId="68F1F737" w14:textId="3C069031" w:rsidR="00D1589B" w:rsidRPr="00710EF4" w:rsidRDefault="4948E96F">
            <w:pPr>
              <w:jc w:val="right"/>
              <w:rPr>
                <w:rFonts w:ascii="Calibri" w:eastAsia="Calibri" w:hAnsi="Calibri" w:cs="Calibri"/>
                <w:sz w:val="18"/>
                <w:szCs w:val="18"/>
              </w:rPr>
            </w:pPr>
            <w:r w:rsidRPr="4BD80007">
              <w:rPr>
                <w:rFonts w:ascii="Calibri" w:eastAsia="Times New Roman" w:hAnsi="Calibri" w:cs="Calibri"/>
                <w:b/>
                <w:bCs/>
                <w:sz w:val="18"/>
                <w:szCs w:val="18"/>
              </w:rPr>
              <w:t>24</w:t>
            </w:r>
            <w:r w:rsidR="2664D897" w:rsidRPr="4BD80007">
              <w:rPr>
                <w:rFonts w:ascii="Calibri" w:eastAsia="Times New Roman" w:hAnsi="Calibri" w:cs="Calibri"/>
                <w:b/>
                <w:bCs/>
                <w:sz w:val="18"/>
                <w:szCs w:val="18"/>
              </w:rPr>
              <w:t>%</w:t>
            </w:r>
          </w:p>
        </w:tc>
        <w:tc>
          <w:tcPr>
            <w:tcW w:w="900" w:type="dxa"/>
            <w:shd w:val="clear" w:color="auto" w:fill="auto"/>
            <w:vAlign w:val="center"/>
          </w:tcPr>
          <w:p w14:paraId="25A5F8CF" w14:textId="64A20BBC" w:rsidR="00D1589B" w:rsidRPr="00710EF4" w:rsidRDefault="7F2F3FCA" w:rsidP="00D1589B">
            <w:pPr>
              <w:jc w:val="right"/>
              <w:rPr>
                <w:rFonts w:ascii="Calibri" w:eastAsia="Calibri" w:hAnsi="Calibri" w:cs="Calibri"/>
                <w:sz w:val="18"/>
                <w:szCs w:val="18"/>
              </w:rPr>
            </w:pPr>
            <w:r w:rsidRPr="4BD80007">
              <w:rPr>
                <w:rFonts w:ascii="Calibri" w:eastAsia="Times New Roman" w:hAnsi="Calibri" w:cs="Calibri"/>
                <w:sz w:val="18"/>
                <w:szCs w:val="18"/>
              </w:rPr>
              <w:t>$</w:t>
            </w:r>
            <w:r w:rsidR="0699AA9D" w:rsidRPr="4BD80007">
              <w:rPr>
                <w:rFonts w:ascii="Calibri" w:eastAsia="Times New Roman" w:hAnsi="Calibri" w:cs="Calibri"/>
                <w:sz w:val="18"/>
                <w:szCs w:val="18"/>
              </w:rPr>
              <w:t>314,483</w:t>
            </w:r>
          </w:p>
        </w:tc>
        <w:tc>
          <w:tcPr>
            <w:tcW w:w="445" w:type="dxa"/>
            <w:shd w:val="clear" w:color="auto" w:fill="auto"/>
            <w:noWrap/>
            <w:vAlign w:val="center"/>
          </w:tcPr>
          <w:p w14:paraId="6B46F264" w14:textId="45CEC8CA" w:rsidR="00D1589B" w:rsidRPr="00710EF4" w:rsidRDefault="00D1589B" w:rsidP="00D1589B">
            <w:pPr>
              <w:jc w:val="right"/>
              <w:rPr>
                <w:rFonts w:ascii="Calibri" w:eastAsia="Times New Roman" w:hAnsi="Calibri" w:cs="Calibri"/>
                <w:b/>
                <w:color w:val="000000"/>
                <w:sz w:val="18"/>
                <w:szCs w:val="18"/>
              </w:rPr>
            </w:pPr>
            <w:r w:rsidRPr="12909959" w:rsidDel="003A01DB">
              <w:rPr>
                <w:rFonts w:ascii="Calibri" w:eastAsia="Times New Roman" w:hAnsi="Calibri" w:cs="Calibri"/>
                <w:b/>
                <w:color w:val="000000" w:themeColor="text1"/>
                <w:sz w:val="18"/>
                <w:szCs w:val="18"/>
              </w:rPr>
              <w:t>10%</w:t>
            </w:r>
          </w:p>
        </w:tc>
      </w:tr>
    </w:tbl>
    <w:p w14:paraId="42574081" w14:textId="18969542" w:rsidR="007E5BF0" w:rsidRDefault="007E5BF0" w:rsidP="007E5BF0"/>
    <w:p w14:paraId="2F54A1E4" w14:textId="57F01F06" w:rsidR="77A3D6BC" w:rsidRDefault="77A3D6BC" w:rsidP="77A3D6BC"/>
    <w:p w14:paraId="2852723A" w14:textId="77777777" w:rsidR="007E5BF0" w:rsidRDefault="007E5BF0" w:rsidP="007E5BF0">
      <w:pPr>
        <w:pStyle w:val="Heading3"/>
      </w:pPr>
      <w:r>
        <w:t>Reason for Allocation Priorities</w:t>
      </w:r>
    </w:p>
    <w:p w14:paraId="7DF4DAFB" w14:textId="56D3D7BB" w:rsidR="007E5BF0" w:rsidRDefault="007E5BF0" w:rsidP="007E5BF0">
      <w:r>
        <w:t xml:space="preserve">The State of Montana identified the allocation priorities set forth above for Plan Year </w:t>
      </w:r>
      <w:r w:rsidR="003A01DB">
        <w:t xml:space="preserve">5 </w:t>
      </w:r>
      <w:r>
        <w:t xml:space="preserve">through the 2020-2024 Consolidated Plan Needs Assessment and Market Analysis, </w:t>
      </w:r>
      <w:proofErr w:type="gramStart"/>
      <w:r>
        <w:t>past experience</w:t>
      </w:r>
      <w:proofErr w:type="gramEnd"/>
      <w:r>
        <w:t xml:space="preserve"> administering the CDBG</w:t>
      </w:r>
      <w:r w:rsidR="00AE2CD8">
        <w:t>,</w:t>
      </w:r>
      <w:r>
        <w:t xml:space="preserve"> HOME</w:t>
      </w:r>
      <w:r w:rsidR="008D5904">
        <w:t>,</w:t>
      </w:r>
      <w:r>
        <w:t xml:space="preserve"> </w:t>
      </w:r>
      <w:r w:rsidR="00AE2CD8">
        <w:t xml:space="preserve">and HTF </w:t>
      </w:r>
      <w:r>
        <w:t xml:space="preserve">programs, and consultation with the state’s local government, nonprofit, and private sector partners, as well as Montana’s citizens. The allocation priorities also reflect the extent to which eligible entities have other sources of funding available to accomplish each priority. </w:t>
      </w:r>
    </w:p>
    <w:p w14:paraId="3581CD10" w14:textId="77777777" w:rsidR="007E5BF0" w:rsidRDefault="007E5BF0" w:rsidP="007E5BF0"/>
    <w:p w14:paraId="4FA4BEA5" w14:textId="01AC49AA" w:rsidR="007E5BF0" w:rsidRDefault="1664CBFB" w:rsidP="007E5BF0">
      <w:r>
        <w:t xml:space="preserve">With respect to the ESG Program, the State of Montana does not currently allocate funds based on priority needs but rather focuses on allocating funds, in consultation with the </w:t>
      </w:r>
      <w:proofErr w:type="spellStart"/>
      <w:r>
        <w:t>MTCoC</w:t>
      </w:r>
      <w:proofErr w:type="spellEnd"/>
      <w:r w:rsidR="464717E7">
        <w:t>,</w:t>
      </w:r>
      <w:r>
        <w:t xml:space="preserve"> to ensure the provision of ESG services statewide so all homeless </w:t>
      </w:r>
      <w:r w:rsidR="29AF1AC8">
        <w:t>or</w:t>
      </w:r>
      <w:r>
        <w:t xml:space="preserve"> near homeless Montanans have access in or near their communities.  Funds are distributed based on a formula allocati</w:t>
      </w:r>
      <w:r w:rsidR="0023706D">
        <w:t>on</w:t>
      </w:r>
      <w:r w:rsidR="04EBFD19">
        <w:t xml:space="preserve"> for the state’s 12 poverty districts</w:t>
      </w:r>
      <w:r>
        <w:t xml:space="preserve">, reflecting areas of poverty and general population, as set forth in Section 53-10-502, MCA, pertaining to the federal Community Services Block Grant (CSBG). Each allocation of funds is based on poverty levels and general population in each service area, relative to the poverty and general population of the entire state. All </w:t>
      </w:r>
      <w:r w:rsidR="2959B3AB">
        <w:t xml:space="preserve">subrecipients </w:t>
      </w:r>
      <w:r>
        <w:t>submit work plans, budgets, and reports outlining which of the allowable activities will be undertaken.</w:t>
      </w:r>
    </w:p>
    <w:p w14:paraId="7E32A5FE" w14:textId="77777777" w:rsidR="007E5BF0" w:rsidRDefault="007E5BF0" w:rsidP="007E5BF0"/>
    <w:p w14:paraId="4678934A" w14:textId="5B82ADF4" w:rsidR="006824B3" w:rsidRDefault="30CD77F7" w:rsidP="007E5BF0">
      <w:r>
        <w:t xml:space="preserve">Note that </w:t>
      </w:r>
      <w:r w:rsidR="5E3A9898">
        <w:t>the majority ($7,</w:t>
      </w:r>
      <w:r w:rsidR="6FE2AEF3">
        <w:t>159,501</w:t>
      </w:r>
      <w:r w:rsidR="5E3A9898">
        <w:t xml:space="preserve">) of </w:t>
      </w:r>
      <w:r>
        <w:t xml:space="preserve">HOME-ARP funds </w:t>
      </w:r>
      <w:r w:rsidR="116E5BCA">
        <w:t>were</w:t>
      </w:r>
      <w:r>
        <w:t xml:space="preserve"> awarded to eligible applicants during P</w:t>
      </w:r>
      <w:r w:rsidR="248CA39A">
        <w:t>lan</w:t>
      </w:r>
      <w:r>
        <w:t xml:space="preserve"> Year </w:t>
      </w:r>
      <w:r w:rsidR="6E243A48">
        <w:t>4</w:t>
      </w:r>
      <w:r>
        <w:t xml:space="preserve">.  </w:t>
      </w:r>
      <w:r w:rsidR="1405B2B7">
        <w:t>The remaining $3,</w:t>
      </w:r>
      <w:r w:rsidR="5122F3B0">
        <w:t>154,291</w:t>
      </w:r>
      <w:r w:rsidR="1405B2B7">
        <w:t xml:space="preserve"> will be awarded in Pla</w:t>
      </w:r>
      <w:r w:rsidR="2065BD37">
        <w:t>n</w:t>
      </w:r>
      <w:r w:rsidR="1405B2B7">
        <w:t xml:space="preserve"> Year 5. </w:t>
      </w:r>
      <w:r>
        <w:t xml:space="preserve">As presented in Montana’s HOME-ARP Allocation Plan, </w:t>
      </w:r>
      <w:r w:rsidR="7E413AD6">
        <w:t>which is</w:t>
      </w:r>
      <w:r>
        <w:t xml:space="preserve"> part of the 2021-2022 amended AAP, HOME-ARP funds </w:t>
      </w:r>
      <w:r w:rsidR="33A81C4D">
        <w:t xml:space="preserve">are expected to be </w:t>
      </w:r>
      <w:r>
        <w:t>allocated for development or rehabilitation of non-congregate shelter ($</w:t>
      </w:r>
      <w:r w:rsidR="6669A07D">
        <w:t>2,000,000</w:t>
      </w:r>
      <w:r>
        <w:t>),</w:t>
      </w:r>
      <w:r w:rsidR="34B2C97F">
        <w:t xml:space="preserve"> permanent housing ($</w:t>
      </w:r>
      <w:r w:rsidR="26D285A7">
        <w:t>7,013,792</w:t>
      </w:r>
      <w:r w:rsidR="34B2C97F">
        <w:t>), and supportive services ($</w:t>
      </w:r>
      <w:r w:rsidR="241330D2">
        <w:t>1,300,000</w:t>
      </w:r>
      <w:r w:rsidR="34B2C97F">
        <w:t>) with the remaining to administer the program.</w:t>
      </w:r>
    </w:p>
    <w:p w14:paraId="4061AFFF" w14:textId="77777777" w:rsidR="00DC4856" w:rsidRPr="007C6916" w:rsidRDefault="00DC4856" w:rsidP="00DC4856">
      <w:pPr>
        <w:pStyle w:val="pf0"/>
        <w:rPr>
          <w:rFonts w:cstheme="minorHAnsi"/>
        </w:rPr>
      </w:pPr>
      <w:r w:rsidRPr="007C6916">
        <w:rPr>
          <w:rFonts w:asciiTheme="minorHAnsi" w:hAnsiTheme="minorHAnsi" w:cstheme="minorHAnsi"/>
          <w:sz w:val="22"/>
          <w:szCs w:val="22"/>
        </w:rPr>
        <w:t xml:space="preserve">To address the need for rehabilitation of single-family homes, </w:t>
      </w:r>
      <w:r>
        <w:rPr>
          <w:rFonts w:asciiTheme="minorHAnsi" w:hAnsiTheme="minorHAnsi" w:cstheme="minorHAnsi"/>
          <w:sz w:val="22"/>
          <w:szCs w:val="22"/>
        </w:rPr>
        <w:t>t</w:t>
      </w:r>
      <w:r w:rsidRPr="007C6916">
        <w:rPr>
          <w:rStyle w:val="cf01"/>
          <w:rFonts w:asciiTheme="minorHAnsi" w:eastAsiaTheme="majorEastAsia" w:hAnsiTheme="minorHAnsi" w:cstheme="minorHAnsi"/>
          <w:sz w:val="22"/>
          <w:szCs w:val="22"/>
        </w:rPr>
        <w:t>he State of Montana received $50 million under the American Rescue Plan Act (ARPA) for a Homeowner Assistance Fund (HAF). This program is actively accepting application</w:t>
      </w:r>
      <w:r>
        <w:rPr>
          <w:rStyle w:val="cf01"/>
          <w:rFonts w:asciiTheme="minorHAnsi" w:eastAsiaTheme="majorEastAsia" w:hAnsiTheme="minorHAnsi" w:cstheme="minorHAnsi"/>
          <w:sz w:val="22"/>
          <w:szCs w:val="22"/>
        </w:rPr>
        <w:t>s</w:t>
      </w:r>
      <w:r w:rsidRPr="007C6916">
        <w:rPr>
          <w:rStyle w:val="cf01"/>
          <w:rFonts w:asciiTheme="minorHAnsi" w:eastAsiaTheme="majorEastAsia" w:hAnsiTheme="minorHAnsi" w:cstheme="minorHAnsi"/>
          <w:sz w:val="22"/>
          <w:szCs w:val="22"/>
        </w:rPr>
        <w:t xml:space="preserve"> </w:t>
      </w:r>
      <w:r>
        <w:rPr>
          <w:rStyle w:val="cf01"/>
          <w:rFonts w:asciiTheme="minorHAnsi" w:eastAsiaTheme="majorEastAsia" w:hAnsiTheme="minorHAnsi" w:cstheme="minorHAnsi"/>
          <w:sz w:val="22"/>
          <w:szCs w:val="22"/>
        </w:rPr>
        <w:t xml:space="preserve">and </w:t>
      </w:r>
      <w:r w:rsidRPr="007C6916">
        <w:rPr>
          <w:rStyle w:val="cf01"/>
          <w:rFonts w:asciiTheme="minorHAnsi" w:eastAsiaTheme="majorEastAsia" w:hAnsiTheme="minorHAnsi" w:cstheme="minorHAnsi"/>
          <w:sz w:val="22"/>
          <w:szCs w:val="22"/>
        </w:rPr>
        <w:t>can provide f</w:t>
      </w:r>
      <w:r w:rsidRPr="007C6916">
        <w:rPr>
          <w:rStyle w:val="cf11"/>
          <w:rFonts w:asciiTheme="minorHAnsi" w:eastAsiaTheme="majorEastAsia" w:hAnsiTheme="minorHAnsi" w:cstheme="minorHAnsi"/>
          <w:sz w:val="22"/>
          <w:szCs w:val="22"/>
        </w:rPr>
        <w:t>inancial assistance, in the form of a grant to up $65,000, to assist homeowners in repairing or renovating health and safety risks within their home that may cause displacement such as trip/slip hazards, insurability repairs, accessibility and visit-ability, and other repairs that pose a hardship to homeowners.</w:t>
      </w:r>
    </w:p>
    <w:p w14:paraId="50366B33" w14:textId="77777777" w:rsidR="00DC4856" w:rsidRDefault="00DC4856" w:rsidP="007E5BF0"/>
    <w:p w14:paraId="0F4AAFD2" w14:textId="48DFA2E2" w:rsidR="00D1589B" w:rsidRPr="00781034" w:rsidRDefault="00D1589B" w:rsidP="007E5BF0">
      <w:r>
        <w:lastRenderedPageBreak/>
        <w:t xml:space="preserve"> </w:t>
      </w:r>
    </w:p>
    <w:p w14:paraId="7816EA3F" w14:textId="77777777" w:rsidR="007E5BF0" w:rsidRDefault="007E5BF0" w:rsidP="007E5BF0">
      <w:pPr>
        <w:pStyle w:val="Heading3"/>
      </w:pPr>
      <w:r>
        <w:t>How will the proposed distribution of funds address the priority needs and specific objectives described in the Consolidated Plan?</w:t>
      </w:r>
    </w:p>
    <w:p w14:paraId="22255F29" w14:textId="3F584C79" w:rsidR="007E5BF0" w:rsidRDefault="15D4CFDC" w:rsidP="007E5BF0">
      <w:r>
        <w:t xml:space="preserve">The priority needs and the allocation of funds to address those needs, as set forth above, are designed to specifically address Montana’s objectives described in this AAP. </w:t>
      </w:r>
    </w:p>
    <w:p w14:paraId="0EC06D82" w14:textId="77777777" w:rsidR="007E5BF0" w:rsidRPr="00781034" w:rsidRDefault="007E5BF0" w:rsidP="007E5BF0"/>
    <w:p w14:paraId="0735BDE4" w14:textId="7F61690D" w:rsidR="007E5BF0" w:rsidRDefault="007E5BF0" w:rsidP="007E5BF0">
      <w:r w:rsidRPr="54FDEEE5">
        <w:rPr>
          <w:b/>
          <w:bCs/>
        </w:rPr>
        <w:t>Support existing Montana communities</w:t>
      </w:r>
      <w:r>
        <w:t xml:space="preserve">. Montana will target CDBG, HOME, and HTF funding towards communities to increase community revitalization; improve the efficiency of public infrastructure; safeguard rural landscapes and natural resources through comprehensive planning; eliminate or reduce the presence of slums or blight through comprehensive planning; rehabilitate existing homes; build social, economic, and environmental resiliency to severe events; and develop and rehabilitate community facilities and services within walkable neighborhoods and/or neighborhoods served by public transportation systems. </w:t>
      </w:r>
    </w:p>
    <w:p w14:paraId="33C28701" w14:textId="77777777" w:rsidR="007E5BF0" w:rsidRPr="00781034" w:rsidRDefault="007E5BF0" w:rsidP="007E5BF0"/>
    <w:p w14:paraId="48C20D86" w14:textId="51246910" w:rsidR="007E5BF0" w:rsidRDefault="007E5BF0" w:rsidP="007E5BF0">
      <w:r w:rsidRPr="54FDEEE5">
        <w:rPr>
          <w:b/>
          <w:bCs/>
        </w:rPr>
        <w:t>Invest in vital public infrastructure</w:t>
      </w:r>
      <w:r>
        <w:t xml:space="preserve">. By using CDBG funds for public infrastructure, Montana will encourage appropriate and comprehensive pre-development planning activities for public infrastructure; provide funding opportunities to improve the safety and efficiency of public infrastructure; build social, economic, and environmental resiliency to severe events; safeguard the environment; and maximize existing public infrastructure investments. </w:t>
      </w:r>
    </w:p>
    <w:p w14:paraId="578DB78D" w14:textId="77777777" w:rsidR="007E5BF0" w:rsidRPr="00781034" w:rsidRDefault="007E5BF0" w:rsidP="007E5BF0"/>
    <w:p w14:paraId="72C78F4F" w14:textId="397A87D6" w:rsidR="007E5BF0" w:rsidRDefault="15D4CFDC" w:rsidP="007E5BF0">
      <w:r w:rsidRPr="2B242364">
        <w:rPr>
          <w:b/>
          <w:bCs/>
        </w:rPr>
        <w:t>Enhance Montana’s economic competitiveness</w:t>
      </w:r>
      <w:r>
        <w:t xml:space="preserve">. Montana is committed to utilizing economic opportunities as the primary strategy for poverty reduction. Montana will use CDBG funds to revitalize local economies; provide educational opportunities, services, and other basic needs by workers; build economic diversification and resiliency; and expand business access to markets, with a particular focus on employment opportunities located within traditional downtown commercial district comprising a mix of businesses, housing, and services. Institutions may collaborate with local governments to access CDBG funds for workforce training and education courses to increase job creation, retention, and advancement opportunities. Commerce will use CDBG funds for a variety of activities that primarily serve </w:t>
      </w:r>
      <w:r w:rsidR="305984DE">
        <w:t>LMI</w:t>
      </w:r>
      <w:r>
        <w:t xml:space="preserve"> persons throughout the state.</w:t>
      </w:r>
    </w:p>
    <w:p w14:paraId="6CD1C9E6" w14:textId="77777777" w:rsidR="007E5BF0" w:rsidRPr="00781034" w:rsidRDefault="007E5BF0" w:rsidP="007E5BF0"/>
    <w:p w14:paraId="473B74AA" w14:textId="2ACED766" w:rsidR="007E5BF0" w:rsidRDefault="66AE8A10" w:rsidP="007E5BF0">
      <w:r w:rsidRPr="331F13D3">
        <w:rPr>
          <w:b/>
          <w:bCs/>
        </w:rPr>
        <w:t>Promote equitable, affordable housing in Montana</w:t>
      </w:r>
      <w:r>
        <w:t>. Montana is committed to being a great place to live, work, and play, where the quality of life starts with equitable access to affordable housing. Montana will use CDBG, HOME, and HTF funding for preserving and constructing affordable housing that increases mobility and lowers the combined cost of housing, utilities</w:t>
      </w:r>
      <w:r w:rsidR="1A7D30FF">
        <w:t>,</w:t>
      </w:r>
      <w:r>
        <w:t xml:space="preserve"> and transportation, building social and economic resiliency to severe events</w:t>
      </w:r>
      <w:r w:rsidR="747A86E7">
        <w:t>, requiring</w:t>
      </w:r>
      <w:r w:rsidR="176D3CE1">
        <w:t>,</w:t>
      </w:r>
      <w:r w:rsidR="747A86E7">
        <w:t xml:space="preserve"> when feasible</w:t>
      </w:r>
      <w:r w:rsidR="2E4C3253">
        <w:t>,</w:t>
      </w:r>
      <w:r w:rsidR="747A86E7">
        <w:t xml:space="preserve"> </w:t>
      </w:r>
      <w:r>
        <w:t>access to broadband at assisted properties, and increasing homeownership and rental opportunities for eligible Montanans, particularly</w:t>
      </w:r>
      <w:r w:rsidR="2501BA4D">
        <w:t xml:space="preserve"> those who are</w:t>
      </w:r>
      <w:r>
        <w:t xml:space="preserve"> homeless, disabled, elderly, </w:t>
      </w:r>
      <w:r w:rsidR="6239A22C">
        <w:t xml:space="preserve">or </w:t>
      </w:r>
      <w:r>
        <w:t>other</w:t>
      </w:r>
      <w:r w:rsidR="292389D2">
        <w:t>wise</w:t>
      </w:r>
      <w:r>
        <w:t xml:space="preserve"> disadvantaged.</w:t>
      </w:r>
    </w:p>
    <w:p w14:paraId="4EF77E31" w14:textId="77777777" w:rsidR="007E5BF0" w:rsidRDefault="007E5BF0" w:rsidP="007E5BF0"/>
    <w:p w14:paraId="07B0EEE1" w14:textId="071804BA" w:rsidR="007E5BF0" w:rsidRDefault="15D4CFDC" w:rsidP="007E5BF0">
      <w:r w:rsidRPr="331F13D3">
        <w:rPr>
          <w:b/>
          <w:bCs/>
        </w:rPr>
        <w:t>Reduce homelessness in Montana</w:t>
      </w:r>
      <w:r>
        <w:t xml:space="preserve">. Through the </w:t>
      </w:r>
      <w:proofErr w:type="spellStart"/>
      <w:r>
        <w:t>MTCoC</w:t>
      </w:r>
      <w:proofErr w:type="spellEnd"/>
      <w:r>
        <w:t xml:space="preserve">, Montana and its partners have focused attention to developing the state’s coordinated entry processes by region with the goal of ending homelessness in the state. This goal will be accomplished by assisting individuals and families experiencing homelessness to receive rapid quality services and referrals leading to long-term stability of permanent housing and self-sufficiency. Agencies are also dedicated to preventing homelessness through case management, rent and rental arrears assistance, using limited homeless prevention funding. Montana will target CDBG, HOME, HTF, and ESG funds to activities that address housing needs and programs offered to Montanans </w:t>
      </w:r>
      <w:r w:rsidR="47D74FC9">
        <w:t xml:space="preserve">who are homeless </w:t>
      </w:r>
      <w:r>
        <w:t xml:space="preserve">and/or those at risk of homelessness. Commerce will use CDBG, HOME, HTF, and ESG funds to provide permanent housing, shelter, and services for persons </w:t>
      </w:r>
      <w:r w:rsidR="70D8FA74">
        <w:t xml:space="preserve">experiencing or </w:t>
      </w:r>
      <w:r>
        <w:t xml:space="preserve">at risk of homelessness. Activities may include operations and maintenance of </w:t>
      </w:r>
      <w:r>
        <w:lastRenderedPageBreak/>
        <w:t xml:space="preserve">shelters to be responsive to health and welfare concerns of individuals who are homeless or at-risk of homelessness, construction or rehabilitation of housing or shelters, and direct assistance to serve </w:t>
      </w:r>
      <w:r w:rsidR="03500656">
        <w:t xml:space="preserve">those who are </w:t>
      </w:r>
      <w:r>
        <w:t xml:space="preserve">homeless or those at risk of homelessness throughout the state. </w:t>
      </w:r>
    </w:p>
    <w:p w14:paraId="29C8CF62" w14:textId="77777777" w:rsidR="007E5BF0" w:rsidRDefault="007E5BF0" w:rsidP="007E5BF0"/>
    <w:p w14:paraId="17C8AB6F" w14:textId="77777777" w:rsidR="007E5BF0" w:rsidRDefault="007E5BF0" w:rsidP="003747A4">
      <w:pPr>
        <w:pStyle w:val="Heading2"/>
      </w:pPr>
      <w:bookmarkStart w:id="56" w:name="_Toc70505039"/>
      <w:bookmarkStart w:id="57" w:name="_Toc72413493"/>
      <w:r>
        <w:t>AP-30 Methods of Distribution – 91.320(d)&amp;(k)</w:t>
      </w:r>
      <w:bookmarkEnd w:id="56"/>
      <w:bookmarkEnd w:id="57"/>
    </w:p>
    <w:p w14:paraId="08658A15" w14:textId="77777777" w:rsidR="007E5BF0" w:rsidRDefault="007E5BF0" w:rsidP="007E5BF0">
      <w:pPr>
        <w:pStyle w:val="Heading3"/>
      </w:pPr>
      <w:r>
        <w:t xml:space="preserve">Introduction </w:t>
      </w:r>
    </w:p>
    <w:p w14:paraId="3A6F096B" w14:textId="4664B4EE" w:rsidR="007E5BF0" w:rsidRPr="00164AC2" w:rsidRDefault="15D4CFDC" w:rsidP="007E5BF0">
      <w:r>
        <w:t xml:space="preserve">Montana’s Methods of Distribution are identified for CDBG, HOME, ESG, and HTF for Plan Year </w:t>
      </w:r>
      <w:r w:rsidR="6C496F80">
        <w:t>5</w:t>
      </w:r>
      <w:r>
        <w:t xml:space="preserve">. For purposes of providing more detailed information, the IDIS </w:t>
      </w:r>
      <w:proofErr w:type="spellStart"/>
      <w:r>
        <w:t>eCon</w:t>
      </w:r>
      <w:proofErr w:type="spellEnd"/>
      <w:r>
        <w:t xml:space="preserve"> Planning Suite System distribution method table (</w:t>
      </w:r>
      <w:r w:rsidRPr="2B242364">
        <w:rPr>
          <w:b/>
          <w:bCs/>
        </w:rPr>
        <w:t xml:space="preserve">Table </w:t>
      </w:r>
      <w:r w:rsidR="71FAD4DE" w:rsidRPr="2B242364">
        <w:rPr>
          <w:b/>
          <w:bCs/>
        </w:rPr>
        <w:t>8</w:t>
      </w:r>
      <w:r w:rsidRPr="2B242364">
        <w:rPr>
          <w:b/>
          <w:bCs/>
        </w:rPr>
        <w:t xml:space="preserve"> – Distribution Methods by State Program</w:t>
      </w:r>
      <w:r>
        <w:t xml:space="preserve">) has been supplemented and reformatted to provide the public with a clearer picture of the state’s Methods of Distribution for Plan Year </w:t>
      </w:r>
      <w:r w:rsidR="57959367">
        <w:t>5</w:t>
      </w:r>
      <w:r>
        <w:t>.</w:t>
      </w:r>
    </w:p>
    <w:p w14:paraId="50C913C7" w14:textId="77777777" w:rsidR="007E5BF0" w:rsidRPr="00B07676" w:rsidRDefault="007E5BF0" w:rsidP="007E5BF0"/>
    <w:p w14:paraId="4D08A530" w14:textId="55A0F8E9" w:rsidR="007E5BF0" w:rsidRDefault="007E5BF0" w:rsidP="007E5BF0">
      <w:r w:rsidRPr="00B07676">
        <w:t xml:space="preserve">Montana </w:t>
      </w:r>
      <w:r>
        <w:t xml:space="preserve">distributes CDBG funds for eligible </w:t>
      </w:r>
      <w:r w:rsidRPr="00B07676">
        <w:t>activities under the following categories:</w:t>
      </w:r>
      <w:r>
        <w:t xml:space="preserve"> CDBG Affordable Housing Development and Rehabilitation</w:t>
      </w:r>
      <w:r w:rsidRPr="00B07676">
        <w:t>;</w:t>
      </w:r>
      <w:r>
        <w:t xml:space="preserve"> CDBG </w:t>
      </w:r>
      <w:r w:rsidRPr="00B07676">
        <w:t>Housing Stabilization Program;</w:t>
      </w:r>
      <w:r>
        <w:t xml:space="preserve"> CDBG </w:t>
      </w:r>
      <w:r w:rsidRPr="00B07676">
        <w:t xml:space="preserve">Public </w:t>
      </w:r>
      <w:r w:rsidR="00EE2FFF">
        <w:t xml:space="preserve">and Community </w:t>
      </w:r>
      <w:r w:rsidRPr="00B07676">
        <w:t>Facilities;</w:t>
      </w:r>
      <w:r>
        <w:t xml:space="preserve"> CDBG </w:t>
      </w:r>
      <w:r w:rsidRPr="00B07676">
        <w:t xml:space="preserve">Economic Development; </w:t>
      </w:r>
      <w:r w:rsidR="00084308">
        <w:t xml:space="preserve">and </w:t>
      </w:r>
      <w:r>
        <w:t xml:space="preserve">CDBG </w:t>
      </w:r>
      <w:r w:rsidRPr="00B07676">
        <w:t>Planning</w:t>
      </w:r>
      <w:r w:rsidR="00084308">
        <w:t>.</w:t>
      </w:r>
      <w:r>
        <w:t xml:space="preserve"> Montana distributes HOME and HTF funds for eligible activities under </w:t>
      </w:r>
      <w:r w:rsidRPr="00673D85">
        <w:t>HOME Homebuyer Assistance</w:t>
      </w:r>
      <w:r>
        <w:t xml:space="preserve"> Program, </w:t>
      </w:r>
      <w:r w:rsidRPr="00D90B06">
        <w:t xml:space="preserve">HOME </w:t>
      </w:r>
      <w:r w:rsidRPr="00556058">
        <w:t xml:space="preserve">Housing Development </w:t>
      </w:r>
      <w:r w:rsidRPr="00D90B06">
        <w:t>Program</w:t>
      </w:r>
      <w:r>
        <w:t xml:space="preserve">, and </w:t>
      </w:r>
      <w:r w:rsidRPr="00B07676">
        <w:t>HTF Program</w:t>
      </w:r>
      <w:r>
        <w:t xml:space="preserve">. Montana distributes ESG funds for eligible activities under </w:t>
      </w:r>
      <w:proofErr w:type="gramStart"/>
      <w:r>
        <w:t>ESG</w:t>
      </w:r>
      <w:proofErr w:type="gramEnd"/>
      <w:r>
        <w:t xml:space="preserve"> Program</w:t>
      </w:r>
      <w:r w:rsidR="00084308">
        <w:t>.</w:t>
      </w:r>
    </w:p>
    <w:p w14:paraId="5FB611DB" w14:textId="77777777" w:rsidR="007E5BF0" w:rsidRDefault="007E5BF0" w:rsidP="007E5BF0"/>
    <w:p w14:paraId="66D7DC38" w14:textId="207DE35B" w:rsidR="007E5BF0" w:rsidRDefault="15D4CFDC" w:rsidP="007E5BF0">
      <w:r>
        <w:t xml:space="preserve">Information about evaluation criteria, allocations, award thresholds, and anticipated outcomes for each of the </w:t>
      </w:r>
      <w:r w:rsidR="0B358666">
        <w:t>S</w:t>
      </w:r>
      <w:r>
        <w:t>tate’s programs is detailed below.</w:t>
      </w:r>
    </w:p>
    <w:p w14:paraId="02282C23" w14:textId="77777777" w:rsidR="007E5BF0" w:rsidRDefault="007E5BF0" w:rsidP="007E5BF0"/>
    <w:p w14:paraId="5A31DB62" w14:textId="59B89BFC" w:rsidR="007E5BF0" w:rsidRDefault="007E5BF0" w:rsidP="007E5BF0">
      <w:r>
        <w:t xml:space="preserve">Of note, </w:t>
      </w:r>
      <w:r w:rsidRPr="00210E28">
        <w:t xml:space="preserve">Commerce </w:t>
      </w:r>
      <w:r>
        <w:t>publishes application guidelines for programs according to each program’s funding cycle. These guidelines adhere to the methods of distribution outlined herein; they also outline additional considerations such as broadband project integration. Under HOME and HTF, for example, projects involving the new construction of four or more units are generally required to install broadband infrastructure. Although not required, CDBG projects with a broadband component may have a competitive advantage. Examples of CDBG projects that could incorporate broadband installation are Public</w:t>
      </w:r>
      <w:r w:rsidR="00EE2FFF">
        <w:t xml:space="preserve"> and Community</w:t>
      </w:r>
      <w:r>
        <w:t xml:space="preserve"> Facilities projects involving the construction of libraries or senior centers and Economic Development projects seeking to provide increased internet access to businesses in rural, underserved areas of the state. Prospective grantees are encouraged to consult application guidelines or contact Commerce staff for further information.</w:t>
      </w:r>
    </w:p>
    <w:p w14:paraId="45BA1FF0" w14:textId="77777777" w:rsidR="007E5BF0" w:rsidRDefault="007E5BF0" w:rsidP="007E5BF0"/>
    <w:p w14:paraId="106802CC" w14:textId="77777777" w:rsidR="007E5BF0" w:rsidRDefault="007E5BF0" w:rsidP="007E5BF0">
      <w:pPr>
        <w:pStyle w:val="Heading3"/>
      </w:pPr>
      <w:r>
        <w:t>Distribution Methods</w:t>
      </w:r>
    </w:p>
    <w:p w14:paraId="013FFFF7" w14:textId="77777777" w:rsidR="007E5BF0" w:rsidRDefault="007E5BF0" w:rsidP="007E5BF0"/>
    <w:p w14:paraId="0F4B4E85" w14:textId="77777777" w:rsidR="007E5BF0" w:rsidRDefault="007E5BF0" w:rsidP="007E5BF0">
      <w:pPr>
        <w:pStyle w:val="Heading4"/>
      </w:pPr>
      <w:r>
        <w:t>Community Development Block Grant (CDGB)</w:t>
      </w:r>
    </w:p>
    <w:p w14:paraId="5710091A" w14:textId="1887EC2F" w:rsidR="007E5BF0" w:rsidRDefault="66AE8A10" w:rsidP="007E5BF0">
      <w:r>
        <w:t>CDBG funds will be used for various activities authorized in Section 105(a) of the amended 1974 Housing and Community Development Act that meet the CDBG National Objectives</w:t>
      </w:r>
      <w:r w:rsidR="75650073">
        <w:t xml:space="preserve"> </w:t>
      </w:r>
      <w:r w:rsidR="1A4161CE">
        <w:t>LMI</w:t>
      </w:r>
      <w:r w:rsidR="7487B650">
        <w:t xml:space="preserve">, </w:t>
      </w:r>
      <w:r>
        <w:t>Slums and Blight</w:t>
      </w:r>
      <w:r w:rsidR="73B25C97">
        <w:t>, and Urgent Need</w:t>
      </w:r>
      <w:r w:rsidR="7487B650">
        <w:t>.</w:t>
      </w:r>
      <w:r>
        <w:t xml:space="preserve"> </w:t>
      </w:r>
    </w:p>
    <w:p w14:paraId="1D3A060C" w14:textId="77777777" w:rsidR="007E5BF0" w:rsidRDefault="007E5BF0" w:rsidP="007E5BF0"/>
    <w:p w14:paraId="5606C330" w14:textId="77777777" w:rsidR="007E5BF0" w:rsidRDefault="007E5BF0" w:rsidP="007E5BF0">
      <w:pPr>
        <w:pStyle w:val="Heading5"/>
      </w:pPr>
      <w:proofErr w:type="gramStart"/>
      <w:r>
        <w:t>Low and Moderate Income</w:t>
      </w:r>
      <w:proofErr w:type="gramEnd"/>
      <w:r>
        <w:t xml:space="preserve"> National Objective</w:t>
      </w:r>
    </w:p>
    <w:p w14:paraId="5C7AF78E" w14:textId="77777777" w:rsidR="007E5BF0" w:rsidRDefault="007E5BF0" w:rsidP="007E5BF0">
      <w:r>
        <w:t xml:space="preserve">The State of Montana annually certifies that </w:t>
      </w:r>
      <w:proofErr w:type="gramStart"/>
      <w:r>
        <w:t>not</w:t>
      </w:r>
      <w:proofErr w:type="gramEnd"/>
      <w:r>
        <w:t xml:space="preserve"> less than 70% of aggregate CDBG funds received during a 3-year period (as identified to HUD) shall be used for activities benefitting persons of LMI. CDBG funds are distributed throughout the state’s non-entitlement areas (outside Billings, Great Falls, and Missoula) and target activities that serve persons of LMI. Projects funded with CDBG resources typically provide a community-wide benefit. </w:t>
      </w:r>
    </w:p>
    <w:p w14:paraId="7477EABC" w14:textId="77777777" w:rsidR="007E5BF0" w:rsidRDefault="007E5BF0" w:rsidP="007E5BF0"/>
    <w:p w14:paraId="37751A92" w14:textId="77777777" w:rsidR="007E5BF0" w:rsidRDefault="007E5BF0" w:rsidP="007E5BF0">
      <w:pPr>
        <w:pStyle w:val="Heading5"/>
      </w:pPr>
      <w:r>
        <w:lastRenderedPageBreak/>
        <w:t>Slums and Blight National Objective</w:t>
      </w:r>
    </w:p>
    <w:p w14:paraId="228918A6" w14:textId="317C7D8C" w:rsidR="007E5BF0" w:rsidRDefault="66AE8A10" w:rsidP="007E5BF0">
      <w:r>
        <w:t xml:space="preserve">To expand the CDBG Program beyond the </w:t>
      </w:r>
      <w:r w:rsidR="1569FF7E">
        <w:t>LMI</w:t>
      </w:r>
      <w:r>
        <w:t xml:space="preserve"> National Objective, Montana will use CDBG funds </w:t>
      </w:r>
      <w:r w:rsidR="7487B650">
        <w:t xml:space="preserve">(specifically, Planning and Economic Development resources) </w:t>
      </w:r>
      <w:r>
        <w:t xml:space="preserve">to reduce, eliminate, or prevent slums and blight. </w:t>
      </w:r>
    </w:p>
    <w:p w14:paraId="0DAA7219" w14:textId="5EE7D9EF" w:rsidR="00084308" w:rsidRDefault="00084308" w:rsidP="007E5BF0"/>
    <w:p w14:paraId="018D2FFA" w14:textId="66275431" w:rsidR="007E5BF0" w:rsidRDefault="7487B650" w:rsidP="007E5BF0">
      <w:r>
        <w:t xml:space="preserve">Planning-only and Economic Development activities undertaken during the </w:t>
      </w:r>
      <w:r w:rsidR="6C496F80">
        <w:t>2024-2025</w:t>
      </w:r>
      <w:r>
        <w:t xml:space="preserve"> AAP period will meet the </w:t>
      </w:r>
      <w:r w:rsidR="55191A96">
        <w:t>LMI</w:t>
      </w:r>
      <w:r>
        <w:t xml:space="preserve"> or Slums and Blight National Objectives by </w:t>
      </w:r>
      <w:proofErr w:type="gramStart"/>
      <w:r>
        <w:t>benefitting</w:t>
      </w:r>
      <w:proofErr w:type="gramEnd"/>
      <w:r>
        <w:t xml:space="preserve"> LMI persons or preventing or eliminating the presence of slums and blight. While up to this point, no Economic Development activities have proposed to or met the Slums and Blight National Objective</w:t>
      </w:r>
      <w:r w:rsidR="1E6D7EBD">
        <w:t>,</w:t>
      </w:r>
      <w:r w:rsidR="6D5D67EF">
        <w:t xml:space="preserve"> </w:t>
      </w:r>
      <w:r w:rsidR="1F81CBCD">
        <w:t>t</w:t>
      </w:r>
      <w:r>
        <w:t>he need to prevent or eliminate the presence of slums and blight exists in communities across the state</w:t>
      </w:r>
      <w:r w:rsidR="3F3F24E6">
        <w:t xml:space="preserve">. </w:t>
      </w:r>
      <w:r w:rsidR="4EBF30F5">
        <w:t>T</w:t>
      </w:r>
      <w:r w:rsidR="66B47ED3">
        <w:t>he state is currently aiding planning activities that meet this National Objective</w:t>
      </w:r>
      <w:r w:rsidR="067767BD">
        <w:t xml:space="preserve">. </w:t>
      </w:r>
      <w:r>
        <w:t xml:space="preserve">During the </w:t>
      </w:r>
      <w:r w:rsidR="6C496F80">
        <w:t>2024-2025</w:t>
      </w:r>
      <w:r>
        <w:t xml:space="preserve"> AAP period, the State will educate and encourage communities to take the necessary steps to submit Planning and Economic Development grant applications for planning-only and revitalization activities that specifically meet the Slums and Blight National Objective.</w:t>
      </w:r>
    </w:p>
    <w:p w14:paraId="46E2FB3B" w14:textId="77777777" w:rsidR="006824B3" w:rsidRDefault="006824B3" w:rsidP="007E5BF0"/>
    <w:p w14:paraId="20762ADE" w14:textId="33EA8452" w:rsidR="007E5BF0" w:rsidRDefault="007E5BF0" w:rsidP="007E5BF0">
      <w:r>
        <w:t>CDBG funds are reserved in each of the grant categories detailed below, based on a percent of the total funds available for distribution to local governments. The State is allowed $100,000 plus 3% of the State grant for administration and technical assistance, in accordance with HUD regulations. The State is allowed 3% of the program income received by units of general local government (whether retained by the unit of general local government or paid to the State) and funds reallocated by HUD to the State</w:t>
      </w:r>
      <w:r w:rsidR="00084308">
        <w:t>; however, the State does not use program income for administration and technical assistance</w:t>
      </w:r>
      <w:r>
        <w:t xml:space="preserve">. </w:t>
      </w:r>
    </w:p>
    <w:p w14:paraId="70573E18" w14:textId="77777777" w:rsidR="007E5BF0" w:rsidRDefault="007E5BF0" w:rsidP="007E5BF0"/>
    <w:p w14:paraId="5DF613F1" w14:textId="06FC02BC" w:rsidR="007E5BF0" w:rsidRDefault="1664CBFB" w:rsidP="007E5BF0">
      <w:r>
        <w:t xml:space="preserve">To achieve the most effective and efficient use of CDBG funds, the Director of Commerce may reallocate up </w:t>
      </w:r>
      <w:r w:rsidR="7EE2B107">
        <w:t>to 25%</w:t>
      </w:r>
      <w:r>
        <w:t xml:space="preserve"> of the total CDBG allocation among National Objectives (assuring that no less than 70% of CDBG funds will be used for LMI beneficiaries) and grant categories, depending upon needs in the state during any given plan year. A reallocation of more than </w:t>
      </w:r>
      <w:r w:rsidR="7EE2B107">
        <w:t>25</w:t>
      </w:r>
      <w:r>
        <w:t>% of the total allocation, or the creation or elimination of a grant category, will be considered a substantial amendment to this AAP and will require further steps as identified in Montana’s Citizen Participation Plan (</w:t>
      </w:r>
      <w:r w:rsidRPr="0054649D">
        <w:rPr>
          <w:b/>
          <w:bCs/>
        </w:rPr>
        <w:t>Appendix A</w:t>
      </w:r>
      <w:r w:rsidR="02EC2746">
        <w:t xml:space="preserve"> of the 2020-2024 Consolidated Plan</w:t>
      </w:r>
      <w:r>
        <w:t>). Reallocations may also be made of any remaining balances within any grant category within the last 3 months of a 15-month obligation deadline to meet the HUD Timely Distribution requirement.</w:t>
      </w:r>
    </w:p>
    <w:p w14:paraId="6C1BE922" w14:textId="21E4FF1D" w:rsidR="6EE14823" w:rsidRDefault="6EE14823" w:rsidP="6EE14823"/>
    <w:p w14:paraId="50DFD118" w14:textId="3E1AFAB4" w:rsidR="79F080C4" w:rsidRDefault="79F080C4" w:rsidP="00A75DA5">
      <w:pPr>
        <w:pStyle w:val="Heading5"/>
      </w:pPr>
      <w:r>
        <w:t>Urgent Need</w:t>
      </w:r>
    </w:p>
    <w:p w14:paraId="520FCC3D" w14:textId="47E5B33D" w:rsidR="21B63222" w:rsidRDefault="2E235BB7" w:rsidP="00A75DA5">
      <w:r>
        <w:t xml:space="preserve">If </w:t>
      </w:r>
      <w:r w:rsidR="72BC22E9">
        <w:t xml:space="preserve">it is determined that CDBG funds </w:t>
      </w:r>
      <w:r w:rsidR="4D1C7603">
        <w:t>are</w:t>
      </w:r>
      <w:r w:rsidR="72BC22E9">
        <w:t xml:space="preserve"> required to</w:t>
      </w:r>
      <w:r w:rsidR="36505B30">
        <w:t xml:space="preserve"> meet an urgent need,</w:t>
      </w:r>
      <w:r w:rsidR="72BC22E9">
        <w:t xml:space="preserve"> </w:t>
      </w:r>
      <w:r w:rsidR="651AE5C7">
        <w:t>CDBG funds may be reallocated in the case of a disaster</w:t>
      </w:r>
      <w:r w:rsidR="6DF98946">
        <w:t>,</w:t>
      </w:r>
      <w:r w:rsidR="651AE5C7">
        <w:t xml:space="preserve"> and funds must be used immediately. In the event of a disaster, Commerce will follow </w:t>
      </w:r>
      <w:r w:rsidR="70251916">
        <w:t>its</w:t>
      </w:r>
      <w:r w:rsidR="651AE5C7">
        <w:t xml:space="preserve"> </w:t>
      </w:r>
      <w:r w:rsidR="038CFB8D">
        <w:t>C</w:t>
      </w:r>
      <w:r w:rsidR="651AE5C7">
        <w:t xml:space="preserve">itizen </w:t>
      </w:r>
      <w:r w:rsidR="44F92A55">
        <w:t>P</w:t>
      </w:r>
      <w:r w:rsidR="651AE5C7">
        <w:t xml:space="preserve">articipation </w:t>
      </w:r>
      <w:r w:rsidR="7E9D6BA0">
        <w:t>P</w:t>
      </w:r>
      <w:r w:rsidR="651AE5C7">
        <w:t>lan.</w:t>
      </w:r>
      <w:r w:rsidR="38172942">
        <w:t xml:space="preserve"> </w:t>
      </w:r>
    </w:p>
    <w:p w14:paraId="4467F877" w14:textId="77777777" w:rsidR="007E5BF0" w:rsidRDefault="007E5BF0" w:rsidP="007E5BF0">
      <w:pPr>
        <w:pBdr>
          <w:bottom w:val="single" w:sz="4" w:space="1" w:color="auto"/>
        </w:pBdr>
      </w:pPr>
    </w:p>
    <w:p w14:paraId="63B3C6FE" w14:textId="77777777" w:rsidR="007E5BF0" w:rsidRDefault="007E5BF0" w:rsidP="007E5BF0"/>
    <w:p w14:paraId="02E5EF58" w14:textId="77777777" w:rsidR="007E5BF0" w:rsidRPr="000B3276" w:rsidRDefault="15D4CFDC" w:rsidP="007E5BF0">
      <w:pPr>
        <w:pStyle w:val="Heading4"/>
      </w:pPr>
      <w:r w:rsidRPr="2B242364">
        <w:rPr>
          <w:i/>
          <w:u w:val="none"/>
        </w:rPr>
        <w:t>State Program Name:</w:t>
      </w:r>
      <w:r>
        <w:rPr>
          <w:u w:val="none"/>
        </w:rPr>
        <w:t xml:space="preserve"> </w:t>
      </w:r>
      <w:r w:rsidRPr="2B242364">
        <w:rPr>
          <w:b/>
          <w:bCs/>
          <w:color w:val="auto"/>
          <w:u w:val="none"/>
        </w:rPr>
        <w:t>CDBG Affordable Housing Development and Rehabilitation</w:t>
      </w:r>
    </w:p>
    <w:p w14:paraId="4A1BBA1E" w14:textId="77777777" w:rsidR="007E5BF0" w:rsidRPr="00B946EE" w:rsidRDefault="007E5BF0" w:rsidP="007E5BF0">
      <w:r w:rsidRPr="00756144">
        <w:rPr>
          <w:rStyle w:val="Heading6Char"/>
        </w:rPr>
        <w:t>Funding Sources:</w:t>
      </w:r>
      <w:r w:rsidRPr="00B946EE">
        <w:t xml:space="preserve"> CDBG </w:t>
      </w:r>
    </w:p>
    <w:p w14:paraId="24BFDEC1" w14:textId="77777777" w:rsidR="007E5BF0" w:rsidRDefault="007E5BF0" w:rsidP="007E5BF0"/>
    <w:p w14:paraId="6FD15206" w14:textId="3D9EF942" w:rsidR="007E5BF0" w:rsidRDefault="007E5BF0" w:rsidP="007E5BF0">
      <w:r w:rsidRPr="54FDEEE5">
        <w:rPr>
          <w:rStyle w:val="Heading6Char"/>
        </w:rPr>
        <w:t>Describe the State Program addressed by the Method of Distribution:</w:t>
      </w:r>
      <w:r>
        <w:t xml:space="preserve"> Within the Priority Needs of Preserve and Construct Affordable Housing and Reduce Homelessness, CDBG funds are utilized for the acquisition, new construction</w:t>
      </w:r>
      <w:r w:rsidR="006E66B3">
        <w:t xml:space="preserve"> (under certain circumstances</w:t>
      </w:r>
      <w:r w:rsidR="00684370">
        <w:t xml:space="preserve"> when undertaken with a qualified non-profit as part of community revitalization efforts</w:t>
      </w:r>
      <w:r w:rsidR="006E66B3">
        <w:t>)</w:t>
      </w:r>
      <w:r>
        <w:t>, and rehabilitation of rental or homeownership units made available to households at or below 80% AMI.</w:t>
      </w:r>
    </w:p>
    <w:p w14:paraId="4C44AE0F" w14:textId="77777777" w:rsidR="007E5BF0" w:rsidRDefault="007E5BF0" w:rsidP="007E5BF0"/>
    <w:p w14:paraId="01D65549" w14:textId="521A0D17" w:rsidR="007E5BF0" w:rsidRDefault="007E5BF0" w:rsidP="007E5BF0">
      <w:r w:rsidRPr="331F13D3">
        <w:rPr>
          <w:rStyle w:val="Heading6Char"/>
        </w:rPr>
        <w:lastRenderedPageBreak/>
        <w:t xml:space="preserve">Describe </w:t>
      </w:r>
      <w:proofErr w:type="gramStart"/>
      <w:r w:rsidRPr="331F13D3">
        <w:rPr>
          <w:rStyle w:val="Heading6Char"/>
        </w:rPr>
        <w:t>all of</w:t>
      </w:r>
      <w:proofErr w:type="gramEnd"/>
      <w:r w:rsidRPr="331F13D3">
        <w:rPr>
          <w:rStyle w:val="Heading6Char"/>
        </w:rPr>
        <w:t xml:space="preserve"> the criteria that will be used to select applications and the relative importance of these criteria:</w:t>
      </w:r>
      <w:r>
        <w:t xml:space="preserve"> CDBG Affordable Housing Development and Rehabilitation funds are only available for non-entitlement units of general local government via a competitive process that involves completing Commerce’s Uniform Application for housing-related loan, grant, and tax credit programs. Commerce </w:t>
      </w:r>
      <w:r w:rsidR="4FD19FC9">
        <w:t xml:space="preserve">provides </w:t>
      </w:r>
      <w:r>
        <w:t xml:space="preserve">further guidance in its application guidelines. The CDBG Affordable Housing Development and Rehabilitation ranking criteria and maximum possible points for each criterion are listed in </w:t>
      </w:r>
      <w:r w:rsidRPr="331F13D3">
        <w:rPr>
          <w:b/>
          <w:bCs/>
        </w:rPr>
        <w:t>Table AP-1</w:t>
      </w:r>
      <w:r>
        <w:t>.</w:t>
      </w:r>
    </w:p>
    <w:p w14:paraId="16929136" w14:textId="77777777" w:rsidR="007E5BF0" w:rsidRPr="004D3A76" w:rsidRDefault="007E5BF0" w:rsidP="007E5BF0"/>
    <w:p w14:paraId="0FD9873C" w14:textId="77777777" w:rsidR="007E5BF0" w:rsidRDefault="007E5BF0" w:rsidP="007E5BF0">
      <w:pPr>
        <w:pStyle w:val="TableCaption"/>
      </w:pPr>
      <w:bookmarkStart w:id="58" w:name="_Toc70505197"/>
      <w:bookmarkStart w:id="59" w:name="_Toc73081445"/>
      <w:r>
        <w:t>Table AP-1 – CDBG Affordable Housing Development and Rehabilitation Ranking Criteria</w:t>
      </w:r>
      <w:bookmarkEnd w:id="58"/>
      <w:bookmarkEnd w:id="59"/>
      <w:r>
        <w:t xml:space="preserve"> </w:t>
      </w:r>
    </w:p>
    <w:tbl>
      <w:tblPr>
        <w:tblStyle w:val="TableGrid"/>
        <w:tblW w:w="5000" w:type="pct"/>
        <w:jc w:val="center"/>
        <w:tblCellMar>
          <w:left w:w="115" w:type="dxa"/>
          <w:right w:w="115" w:type="dxa"/>
        </w:tblCellMar>
        <w:tblLook w:val="04A0" w:firstRow="1" w:lastRow="0" w:firstColumn="1" w:lastColumn="0" w:noHBand="0" w:noVBand="1"/>
        <w:tblCaption w:val="CDBG Affordable Housing Development and Rehabilitation Ranking Criteria (Table AP-1)"/>
        <w:tblDescription w:val="This table shows Affordable Housing Development and Rehabilitation ranking criteria for the Community Development Block Grant Program."/>
      </w:tblPr>
      <w:tblGrid>
        <w:gridCol w:w="5724"/>
        <w:gridCol w:w="3626"/>
      </w:tblGrid>
      <w:tr w:rsidR="007E5BF0" w:rsidRPr="00E73C40" w14:paraId="7FAF9975" w14:textId="77777777" w:rsidTr="0044257C">
        <w:trPr>
          <w:trHeight w:val="20"/>
          <w:tblHeader/>
          <w:jc w:val="center"/>
        </w:trPr>
        <w:tc>
          <w:tcPr>
            <w:tcW w:w="3061" w:type="pct"/>
            <w:shd w:val="clear" w:color="auto" w:fill="C5D4D5"/>
            <w:vAlign w:val="center"/>
          </w:tcPr>
          <w:p w14:paraId="2725BF46" w14:textId="77777777" w:rsidR="007E5BF0" w:rsidRPr="002A6A53" w:rsidRDefault="007E5BF0" w:rsidP="0044257C">
            <w:pPr>
              <w:rPr>
                <w:sz w:val="20"/>
                <w:szCs w:val="20"/>
              </w:rPr>
            </w:pPr>
            <w:r w:rsidRPr="002A6A53">
              <w:rPr>
                <w:sz w:val="20"/>
                <w:szCs w:val="20"/>
              </w:rPr>
              <w:t>Ranking Criterion</w:t>
            </w:r>
          </w:p>
        </w:tc>
        <w:tc>
          <w:tcPr>
            <w:tcW w:w="1939" w:type="pct"/>
            <w:shd w:val="clear" w:color="auto" w:fill="C5D4D5"/>
            <w:vAlign w:val="center"/>
          </w:tcPr>
          <w:p w14:paraId="6E2795ED" w14:textId="77777777" w:rsidR="007E5BF0" w:rsidRPr="002A6A53" w:rsidRDefault="007E5BF0" w:rsidP="0044257C">
            <w:pPr>
              <w:jc w:val="center"/>
              <w:rPr>
                <w:sz w:val="20"/>
                <w:szCs w:val="20"/>
              </w:rPr>
            </w:pPr>
            <w:r w:rsidRPr="002A6A53">
              <w:rPr>
                <w:sz w:val="20"/>
                <w:szCs w:val="20"/>
              </w:rPr>
              <w:t>Maximum Possible Points</w:t>
            </w:r>
          </w:p>
        </w:tc>
      </w:tr>
      <w:tr w:rsidR="007E5BF0" w:rsidRPr="00E73C40" w14:paraId="4D6667D4" w14:textId="77777777" w:rsidTr="0044257C">
        <w:trPr>
          <w:trHeight w:val="20"/>
          <w:jc w:val="center"/>
        </w:trPr>
        <w:tc>
          <w:tcPr>
            <w:tcW w:w="3061" w:type="pct"/>
            <w:shd w:val="clear" w:color="auto" w:fill="DDE6E7"/>
            <w:vAlign w:val="center"/>
          </w:tcPr>
          <w:p w14:paraId="0E9F2128" w14:textId="77777777" w:rsidR="007E5BF0" w:rsidRPr="002A6A53" w:rsidRDefault="007E5BF0" w:rsidP="0044257C">
            <w:pPr>
              <w:rPr>
                <w:sz w:val="20"/>
                <w:szCs w:val="20"/>
              </w:rPr>
            </w:pPr>
            <w:r w:rsidRPr="002A6A53">
              <w:rPr>
                <w:sz w:val="20"/>
                <w:szCs w:val="20"/>
              </w:rPr>
              <w:t>Community Planning</w:t>
            </w:r>
          </w:p>
        </w:tc>
        <w:tc>
          <w:tcPr>
            <w:tcW w:w="1939" w:type="pct"/>
            <w:vAlign w:val="center"/>
          </w:tcPr>
          <w:p w14:paraId="09C7B48E" w14:textId="77777777" w:rsidR="007E5BF0" w:rsidRPr="002A6A53" w:rsidRDefault="007E5BF0" w:rsidP="0044257C">
            <w:pPr>
              <w:jc w:val="center"/>
              <w:rPr>
                <w:sz w:val="20"/>
                <w:szCs w:val="20"/>
              </w:rPr>
            </w:pPr>
            <w:r w:rsidRPr="002A6A53">
              <w:rPr>
                <w:sz w:val="20"/>
                <w:szCs w:val="20"/>
              </w:rPr>
              <w:t>175</w:t>
            </w:r>
          </w:p>
        </w:tc>
      </w:tr>
      <w:tr w:rsidR="007E5BF0" w:rsidRPr="00E73C40" w14:paraId="6F823EC9" w14:textId="77777777" w:rsidTr="0044257C">
        <w:trPr>
          <w:trHeight w:val="20"/>
          <w:jc w:val="center"/>
        </w:trPr>
        <w:tc>
          <w:tcPr>
            <w:tcW w:w="3061" w:type="pct"/>
            <w:shd w:val="clear" w:color="auto" w:fill="DDE6E7"/>
            <w:vAlign w:val="center"/>
          </w:tcPr>
          <w:p w14:paraId="6CAA0B5A" w14:textId="77777777" w:rsidR="007E5BF0" w:rsidRPr="002A6A53" w:rsidRDefault="007E5BF0" w:rsidP="0044257C">
            <w:pPr>
              <w:rPr>
                <w:sz w:val="20"/>
                <w:szCs w:val="20"/>
              </w:rPr>
            </w:pPr>
            <w:r w:rsidRPr="002A6A53">
              <w:rPr>
                <w:sz w:val="20"/>
                <w:szCs w:val="20"/>
              </w:rPr>
              <w:t>Need for Project</w:t>
            </w:r>
            <w:r w:rsidRPr="002A6A53">
              <w:rPr>
                <w:sz w:val="20"/>
                <w:szCs w:val="20"/>
              </w:rPr>
              <w:tab/>
            </w:r>
          </w:p>
        </w:tc>
        <w:tc>
          <w:tcPr>
            <w:tcW w:w="1939" w:type="pct"/>
            <w:vAlign w:val="center"/>
          </w:tcPr>
          <w:p w14:paraId="528265A5" w14:textId="77777777" w:rsidR="007E5BF0" w:rsidRPr="002A6A53" w:rsidRDefault="007E5BF0" w:rsidP="0044257C">
            <w:pPr>
              <w:jc w:val="center"/>
              <w:rPr>
                <w:sz w:val="20"/>
                <w:szCs w:val="20"/>
              </w:rPr>
            </w:pPr>
            <w:r w:rsidRPr="002A6A53">
              <w:rPr>
                <w:sz w:val="20"/>
                <w:szCs w:val="20"/>
              </w:rPr>
              <w:t>175</w:t>
            </w:r>
          </w:p>
        </w:tc>
      </w:tr>
      <w:tr w:rsidR="007E5BF0" w:rsidRPr="00E73C40" w14:paraId="5279831A" w14:textId="77777777" w:rsidTr="0044257C">
        <w:trPr>
          <w:trHeight w:val="20"/>
          <w:jc w:val="center"/>
        </w:trPr>
        <w:tc>
          <w:tcPr>
            <w:tcW w:w="3061" w:type="pct"/>
            <w:shd w:val="clear" w:color="auto" w:fill="DDE6E7"/>
            <w:vAlign w:val="center"/>
          </w:tcPr>
          <w:p w14:paraId="72AF88AC" w14:textId="77777777" w:rsidR="007E5BF0" w:rsidRPr="002A6A53" w:rsidRDefault="007E5BF0" w:rsidP="0044257C">
            <w:pPr>
              <w:rPr>
                <w:sz w:val="20"/>
                <w:szCs w:val="20"/>
              </w:rPr>
            </w:pPr>
            <w:r w:rsidRPr="002A6A53">
              <w:rPr>
                <w:sz w:val="20"/>
                <w:szCs w:val="20"/>
              </w:rPr>
              <w:t>Project Strategy</w:t>
            </w:r>
          </w:p>
        </w:tc>
        <w:tc>
          <w:tcPr>
            <w:tcW w:w="1939" w:type="pct"/>
            <w:vAlign w:val="center"/>
          </w:tcPr>
          <w:p w14:paraId="531B1ECD" w14:textId="77777777" w:rsidR="007E5BF0" w:rsidRPr="002A6A53" w:rsidRDefault="007E5BF0" w:rsidP="0044257C">
            <w:pPr>
              <w:jc w:val="center"/>
              <w:rPr>
                <w:sz w:val="20"/>
                <w:szCs w:val="20"/>
              </w:rPr>
            </w:pPr>
            <w:r w:rsidRPr="002A6A53">
              <w:rPr>
                <w:sz w:val="20"/>
                <w:szCs w:val="20"/>
              </w:rPr>
              <w:t>150</w:t>
            </w:r>
          </w:p>
        </w:tc>
      </w:tr>
      <w:tr w:rsidR="007E5BF0" w:rsidRPr="00E73C40" w14:paraId="1D68325D" w14:textId="77777777" w:rsidTr="0044257C">
        <w:trPr>
          <w:trHeight w:val="20"/>
          <w:jc w:val="center"/>
        </w:trPr>
        <w:tc>
          <w:tcPr>
            <w:tcW w:w="3061" w:type="pct"/>
            <w:shd w:val="clear" w:color="auto" w:fill="DDE6E7"/>
            <w:vAlign w:val="center"/>
          </w:tcPr>
          <w:p w14:paraId="1AA7541D" w14:textId="77777777" w:rsidR="007E5BF0" w:rsidRPr="002A6A53" w:rsidRDefault="007E5BF0" w:rsidP="0044257C">
            <w:pPr>
              <w:rPr>
                <w:sz w:val="20"/>
                <w:szCs w:val="20"/>
              </w:rPr>
            </w:pPr>
            <w:r w:rsidRPr="002A6A53">
              <w:rPr>
                <w:sz w:val="20"/>
                <w:szCs w:val="20"/>
              </w:rPr>
              <w:t>Community Efforts and Citizen Participation</w:t>
            </w:r>
          </w:p>
        </w:tc>
        <w:tc>
          <w:tcPr>
            <w:tcW w:w="1939" w:type="pct"/>
            <w:vAlign w:val="center"/>
          </w:tcPr>
          <w:p w14:paraId="2052A3F2" w14:textId="77777777" w:rsidR="007E5BF0" w:rsidRPr="002A6A53" w:rsidRDefault="007E5BF0" w:rsidP="0044257C">
            <w:pPr>
              <w:jc w:val="center"/>
              <w:rPr>
                <w:sz w:val="20"/>
                <w:szCs w:val="20"/>
              </w:rPr>
            </w:pPr>
            <w:r w:rsidRPr="002A6A53">
              <w:rPr>
                <w:sz w:val="20"/>
                <w:szCs w:val="20"/>
              </w:rPr>
              <w:t>100</w:t>
            </w:r>
          </w:p>
        </w:tc>
      </w:tr>
      <w:tr w:rsidR="007E5BF0" w:rsidRPr="00E73C40" w14:paraId="68ACDE4C" w14:textId="77777777" w:rsidTr="0044257C">
        <w:trPr>
          <w:trHeight w:val="20"/>
          <w:jc w:val="center"/>
        </w:trPr>
        <w:tc>
          <w:tcPr>
            <w:tcW w:w="3061" w:type="pct"/>
            <w:shd w:val="clear" w:color="auto" w:fill="DDE6E7"/>
            <w:vAlign w:val="center"/>
          </w:tcPr>
          <w:p w14:paraId="4160DD25" w14:textId="77777777" w:rsidR="007E5BF0" w:rsidRPr="002A6A53" w:rsidRDefault="007E5BF0" w:rsidP="0044257C">
            <w:pPr>
              <w:rPr>
                <w:sz w:val="20"/>
                <w:szCs w:val="20"/>
              </w:rPr>
            </w:pPr>
            <w:r w:rsidRPr="002A6A53">
              <w:rPr>
                <w:sz w:val="20"/>
                <w:szCs w:val="20"/>
              </w:rPr>
              <w:t>Benefit to Low- and Moderate-Income Persons</w:t>
            </w:r>
          </w:p>
        </w:tc>
        <w:tc>
          <w:tcPr>
            <w:tcW w:w="1939" w:type="pct"/>
            <w:vAlign w:val="center"/>
          </w:tcPr>
          <w:p w14:paraId="3C10B998" w14:textId="77777777" w:rsidR="007E5BF0" w:rsidRPr="002A6A53" w:rsidRDefault="007E5BF0" w:rsidP="0044257C">
            <w:pPr>
              <w:jc w:val="center"/>
              <w:rPr>
                <w:sz w:val="20"/>
                <w:szCs w:val="20"/>
              </w:rPr>
            </w:pPr>
            <w:r w:rsidRPr="002A6A53">
              <w:rPr>
                <w:sz w:val="20"/>
                <w:szCs w:val="20"/>
              </w:rPr>
              <w:t>200</w:t>
            </w:r>
          </w:p>
        </w:tc>
      </w:tr>
      <w:tr w:rsidR="007E5BF0" w:rsidRPr="00E73C40" w14:paraId="75F09832" w14:textId="77777777" w:rsidTr="0044257C">
        <w:trPr>
          <w:trHeight w:val="20"/>
          <w:jc w:val="center"/>
        </w:trPr>
        <w:tc>
          <w:tcPr>
            <w:tcW w:w="3061" w:type="pct"/>
            <w:shd w:val="clear" w:color="auto" w:fill="DDE6E7"/>
            <w:vAlign w:val="center"/>
          </w:tcPr>
          <w:p w14:paraId="4AD900E5" w14:textId="77777777" w:rsidR="007E5BF0" w:rsidRPr="002A6A53" w:rsidRDefault="007E5BF0" w:rsidP="0044257C">
            <w:pPr>
              <w:keepNext/>
              <w:rPr>
                <w:sz w:val="20"/>
                <w:szCs w:val="20"/>
              </w:rPr>
            </w:pPr>
            <w:r w:rsidRPr="002A6A53">
              <w:rPr>
                <w:sz w:val="20"/>
                <w:szCs w:val="20"/>
              </w:rPr>
              <w:t>Implementation and Management</w:t>
            </w:r>
          </w:p>
        </w:tc>
        <w:tc>
          <w:tcPr>
            <w:tcW w:w="1939" w:type="pct"/>
            <w:vAlign w:val="center"/>
          </w:tcPr>
          <w:p w14:paraId="020431A1" w14:textId="77777777" w:rsidR="007E5BF0" w:rsidRPr="002A6A53" w:rsidRDefault="007E5BF0" w:rsidP="0044257C">
            <w:pPr>
              <w:keepNext/>
              <w:jc w:val="center"/>
              <w:rPr>
                <w:sz w:val="20"/>
                <w:szCs w:val="20"/>
              </w:rPr>
            </w:pPr>
            <w:r w:rsidRPr="002A6A53">
              <w:rPr>
                <w:sz w:val="20"/>
                <w:szCs w:val="20"/>
              </w:rPr>
              <w:t>175</w:t>
            </w:r>
          </w:p>
        </w:tc>
      </w:tr>
      <w:tr w:rsidR="007E5BF0" w:rsidRPr="00E73C40" w14:paraId="62C828FF" w14:textId="77777777" w:rsidTr="0044257C">
        <w:trPr>
          <w:trHeight w:val="20"/>
          <w:jc w:val="center"/>
        </w:trPr>
        <w:tc>
          <w:tcPr>
            <w:tcW w:w="3061" w:type="pct"/>
            <w:shd w:val="clear" w:color="auto" w:fill="DDE6E7"/>
            <w:vAlign w:val="center"/>
          </w:tcPr>
          <w:p w14:paraId="2A0BA48A" w14:textId="77777777" w:rsidR="007E5BF0" w:rsidRPr="002A6A53" w:rsidRDefault="007E5BF0" w:rsidP="0044257C">
            <w:pPr>
              <w:rPr>
                <w:b/>
                <w:bCs/>
                <w:sz w:val="20"/>
                <w:szCs w:val="20"/>
              </w:rPr>
            </w:pPr>
            <w:r w:rsidRPr="002A6A53">
              <w:rPr>
                <w:b/>
                <w:bCs/>
                <w:sz w:val="20"/>
                <w:szCs w:val="20"/>
              </w:rPr>
              <w:t>Total Maximum Possible Points</w:t>
            </w:r>
          </w:p>
        </w:tc>
        <w:tc>
          <w:tcPr>
            <w:tcW w:w="1939" w:type="pct"/>
            <w:vAlign w:val="center"/>
          </w:tcPr>
          <w:p w14:paraId="1BB3FB9B" w14:textId="77777777" w:rsidR="007E5BF0" w:rsidRPr="002A6A53" w:rsidRDefault="007E5BF0" w:rsidP="0044257C">
            <w:pPr>
              <w:jc w:val="center"/>
              <w:rPr>
                <w:b/>
                <w:bCs/>
                <w:sz w:val="20"/>
                <w:szCs w:val="20"/>
              </w:rPr>
            </w:pPr>
            <w:r w:rsidRPr="002A6A53">
              <w:rPr>
                <w:b/>
                <w:bCs/>
                <w:sz w:val="20"/>
                <w:szCs w:val="20"/>
              </w:rPr>
              <w:t>975</w:t>
            </w:r>
          </w:p>
        </w:tc>
      </w:tr>
    </w:tbl>
    <w:p w14:paraId="33D9A79D" w14:textId="77777777" w:rsidR="007E5BF0" w:rsidRDefault="007E5BF0" w:rsidP="007E5BF0"/>
    <w:p w14:paraId="3FFFF7DE" w14:textId="6EE2630B" w:rsidR="007E5BF0" w:rsidRDefault="4BA3547F" w:rsidP="414323AB">
      <w:r w:rsidRPr="4676B94E">
        <w:rPr>
          <w:rStyle w:val="Heading6Char"/>
        </w:rPr>
        <w:t>If only summary criteria were described, how can potential applicants access application manuals or other state publications describing the application criteria? (CDBG only):</w:t>
      </w:r>
      <w:r>
        <w:t xml:space="preserve"> CDBG grant program applications, grant application guidelines, project grant administration manual, and other relevant information and resources are available on Commerce’s website at </w:t>
      </w:r>
      <w:hyperlink r:id="rId25">
        <w:r w:rsidR="1CC8DBC6" w:rsidRPr="4676B94E">
          <w:rPr>
            <w:rStyle w:val="Hyperlink"/>
            <w:rFonts w:ascii="Calibri" w:eastAsia="Calibri" w:hAnsi="Calibri" w:cs="Calibri"/>
          </w:rPr>
          <w:t xml:space="preserve"> </w:t>
        </w:r>
      </w:hyperlink>
      <w:hyperlink r:id="rId26" w:history="1">
        <w:r w:rsidR="406FC078" w:rsidRPr="00380832">
          <w:rPr>
            <w:rStyle w:val="Hyperlink"/>
          </w:rPr>
          <w:t>https://housing.mt.gov/Community-Housing/CDBG-Housing</w:t>
        </w:r>
      </w:hyperlink>
      <w:r w:rsidR="6B2E428F">
        <w:t>.</w:t>
      </w:r>
    </w:p>
    <w:p w14:paraId="59D4E493" w14:textId="77777777" w:rsidR="007E5BF0" w:rsidRDefault="007E5BF0" w:rsidP="007E5BF0"/>
    <w:p w14:paraId="5751CEF1" w14:textId="642DEFB0" w:rsidR="007E5BF0" w:rsidRDefault="4C7E19EA" w:rsidP="007E5BF0">
      <w:r w:rsidRPr="16663A5A">
        <w:rPr>
          <w:rStyle w:val="Heading6Char"/>
        </w:rPr>
        <w:t>Describe how resources will be allocated among funding categories:</w:t>
      </w:r>
      <w:r>
        <w:t xml:space="preserve"> For Plan Year </w:t>
      </w:r>
      <w:r w:rsidR="0405FF11">
        <w:t>5</w:t>
      </w:r>
      <w:r>
        <w:t xml:space="preserve">, Montana will allocate </w:t>
      </w:r>
      <w:r w:rsidR="31117E44">
        <w:t xml:space="preserve">an estimated </w:t>
      </w:r>
      <w:r w:rsidR="51136AD8">
        <w:t>$1,</w:t>
      </w:r>
      <w:r w:rsidR="00C86467">
        <w:t>1</w:t>
      </w:r>
      <w:r w:rsidR="51136AD8">
        <w:t xml:space="preserve">50,000 </w:t>
      </w:r>
      <w:r>
        <w:t>in CDBG funds to Affordable Housing Development and Rehabilitation activities. The Affordable Housing Development and Rehabilitation allocation amount is based on beneficiary data of the project area, the feasibility and need for the activity, and the availability of other federal or state resources for the activity.</w:t>
      </w:r>
    </w:p>
    <w:p w14:paraId="787CD0D5" w14:textId="77777777" w:rsidR="007E5BF0" w:rsidRDefault="007E5BF0" w:rsidP="007E5BF0"/>
    <w:p w14:paraId="518C73B5" w14:textId="6812CBD9" w:rsidR="0036111A" w:rsidRDefault="007E5BF0" w:rsidP="0036111A">
      <w:r w:rsidRPr="00BB5575">
        <w:rPr>
          <w:rStyle w:val="Heading6Char"/>
        </w:rPr>
        <w:t>Describe threshold factors and grant size limits.</w:t>
      </w:r>
      <w:r>
        <w:t xml:space="preserve"> Each project funded must meet the CDBG National Objective of benefiting persons of LMI</w:t>
      </w:r>
      <w:r w:rsidR="0054649D">
        <w:t xml:space="preserve"> or benefitting limited clientele (LMC)</w:t>
      </w:r>
      <w:r>
        <w:t xml:space="preserve">. </w:t>
      </w:r>
      <w:r w:rsidR="0036111A">
        <w:t>The maximum amount of</w:t>
      </w:r>
      <w:r>
        <w:t xml:space="preserve"> CDBG funds </w:t>
      </w:r>
      <w:r w:rsidR="0036111A">
        <w:t xml:space="preserve">to </w:t>
      </w:r>
      <w:r>
        <w:t xml:space="preserve">be awarded per project </w:t>
      </w:r>
      <w:r w:rsidR="0036111A">
        <w:t>is detailed in the published CDBG Housing Development and Rehabilitation Application Guidelines</w:t>
      </w:r>
      <w:r>
        <w:t>.</w:t>
      </w:r>
    </w:p>
    <w:p w14:paraId="5D1D8BE3" w14:textId="77777777" w:rsidR="0036111A" w:rsidRDefault="0036111A" w:rsidP="007E5BF0"/>
    <w:p w14:paraId="4235C7E1" w14:textId="6C42CFE6" w:rsidR="007E5BF0" w:rsidRDefault="4C7E19EA" w:rsidP="007E5BF0">
      <w:r w:rsidRPr="16663A5A">
        <w:rPr>
          <w:rStyle w:val="Heading6Char"/>
        </w:rPr>
        <w:t>Anticipated Outcome Measure:</w:t>
      </w:r>
      <w:r>
        <w:t xml:space="preserve"> </w:t>
      </w:r>
      <w:r w:rsidR="42521C86">
        <w:t xml:space="preserve">10 </w:t>
      </w:r>
      <w:r>
        <w:t xml:space="preserve">rental units will be constructed or rehabilitated. In addition, approximately </w:t>
      </w:r>
      <w:r w:rsidR="33D23024">
        <w:t>10</w:t>
      </w:r>
      <w:r w:rsidR="3F37FCD4">
        <w:t xml:space="preserve"> </w:t>
      </w:r>
      <w:r>
        <w:t xml:space="preserve">LMI </w:t>
      </w:r>
      <w:proofErr w:type="gramStart"/>
      <w:r>
        <w:t>persons</w:t>
      </w:r>
      <w:proofErr w:type="gramEnd"/>
      <w:r>
        <w:t xml:space="preserve"> will be provided overnight shelter.</w:t>
      </w:r>
    </w:p>
    <w:p w14:paraId="2441EC50" w14:textId="77777777" w:rsidR="007E5BF0" w:rsidRDefault="007E5BF0" w:rsidP="007E5BF0">
      <w:pPr>
        <w:pBdr>
          <w:bottom w:val="single" w:sz="4" w:space="1" w:color="auto"/>
        </w:pBdr>
      </w:pPr>
    </w:p>
    <w:p w14:paraId="10139048" w14:textId="77777777" w:rsidR="007E5BF0" w:rsidRDefault="007E5BF0" w:rsidP="007E5BF0"/>
    <w:p w14:paraId="5992DE1D" w14:textId="77777777" w:rsidR="007E5BF0" w:rsidRPr="00C12333" w:rsidRDefault="15D4CFDC" w:rsidP="007E5BF0">
      <w:pPr>
        <w:pStyle w:val="Heading4"/>
        <w:rPr>
          <w:u w:val="none"/>
        </w:rPr>
      </w:pPr>
      <w:r w:rsidRPr="2B242364">
        <w:rPr>
          <w:i/>
          <w:u w:val="none"/>
        </w:rPr>
        <w:t>State Program Name:</w:t>
      </w:r>
      <w:r>
        <w:rPr>
          <w:u w:val="none"/>
        </w:rPr>
        <w:t xml:space="preserve"> </w:t>
      </w:r>
      <w:r w:rsidRPr="2B242364">
        <w:rPr>
          <w:b/>
          <w:bCs/>
          <w:color w:val="auto"/>
          <w:u w:val="none"/>
        </w:rPr>
        <w:t>CDBG Housing Stabilization Program</w:t>
      </w:r>
    </w:p>
    <w:p w14:paraId="725FF512" w14:textId="77777777" w:rsidR="007E5BF0" w:rsidRDefault="007E5BF0" w:rsidP="007E5BF0">
      <w:r w:rsidRPr="00155772">
        <w:rPr>
          <w:rStyle w:val="Heading6Char"/>
        </w:rPr>
        <w:t>Funding Sources:</w:t>
      </w:r>
      <w:r>
        <w:t xml:space="preserve"> CDBG </w:t>
      </w:r>
    </w:p>
    <w:p w14:paraId="66499B03" w14:textId="77777777" w:rsidR="007E5BF0" w:rsidRDefault="007E5BF0" w:rsidP="007E5BF0"/>
    <w:p w14:paraId="30CCBC73" w14:textId="7287CE4A" w:rsidR="007E5BF0" w:rsidRDefault="007E5BF0" w:rsidP="007E5BF0">
      <w:r w:rsidRPr="54FDEEE5">
        <w:rPr>
          <w:rStyle w:val="Heading6Char"/>
        </w:rPr>
        <w:t>Describe the State Program addressed by the Method of Distribution:</w:t>
      </w:r>
      <w:r>
        <w:t xml:space="preserve"> Within the Priority Need to Preserve and Construct Affordable Housing, CDBG funds are utilized for activities to create or preserve homeownership with a specific focus on solving health and safety issues and improving accessibility and energy efficiency for single-family households at or below 80% AMI. These activities may include acquisition and/or rehabilitation of housing units made available to LMI persons.</w:t>
      </w:r>
    </w:p>
    <w:p w14:paraId="39665302" w14:textId="77777777" w:rsidR="007E5BF0" w:rsidRDefault="007E5BF0" w:rsidP="007E5BF0"/>
    <w:p w14:paraId="258B354A" w14:textId="5A2E95ED" w:rsidR="007E5BF0" w:rsidRDefault="007E5BF0" w:rsidP="007E5BF0">
      <w:r w:rsidRPr="331F13D3">
        <w:rPr>
          <w:rStyle w:val="Heading6Char"/>
        </w:rPr>
        <w:lastRenderedPageBreak/>
        <w:t xml:space="preserve">Describe </w:t>
      </w:r>
      <w:proofErr w:type="gramStart"/>
      <w:r w:rsidRPr="331F13D3">
        <w:rPr>
          <w:rStyle w:val="Heading6Char"/>
        </w:rPr>
        <w:t>all of</w:t>
      </w:r>
      <w:proofErr w:type="gramEnd"/>
      <w:r w:rsidRPr="331F13D3">
        <w:rPr>
          <w:rStyle w:val="Heading6Char"/>
        </w:rPr>
        <w:t xml:space="preserve"> the criteria that will be used to select applications and the relative importance of these criteria:</w:t>
      </w:r>
      <w:r>
        <w:t xml:space="preserve"> CDBG Housing Stabilization Program funds are only available for non-entitlement units of general local government via a non-competitive process that involves completing an application in collaboration with a CHDO. Applicants who are not working with a CHDO must receive approval by Commerce.</w:t>
      </w:r>
      <w:r w:rsidR="006824B3">
        <w:t xml:space="preserve"> If new construction of homes is in the scope of work for a community, it will partner with a CHDO or other Community Based Development Organization (CBDO).</w:t>
      </w:r>
      <w:r>
        <w:t xml:space="preserve"> Once approved for funding, the applicant will remain part of the non-competitive pool for a period of no more than 5 years to accomplish the goals established in </w:t>
      </w:r>
      <w:r w:rsidR="4F62D71F">
        <w:t xml:space="preserve">its </w:t>
      </w:r>
      <w:r>
        <w:t>application and will gain access to the set-aside for this funding category.</w:t>
      </w:r>
    </w:p>
    <w:p w14:paraId="68882F3F" w14:textId="77777777" w:rsidR="007E5BF0" w:rsidRDefault="007E5BF0" w:rsidP="007E5BF0"/>
    <w:p w14:paraId="4B897C25" w14:textId="46794A27" w:rsidR="007E5BF0" w:rsidRDefault="4BA3547F" w:rsidP="007E5BF0">
      <w:r w:rsidRPr="4676B94E">
        <w:rPr>
          <w:rStyle w:val="Heading6Char"/>
        </w:rPr>
        <w:t>If only summary criteria were described, how can potential applicants access application manuals or other state publications describing the application criteria? (CDBG only):</w:t>
      </w:r>
      <w:r>
        <w:t xml:space="preserve"> CDBG grant program applications, grant application guidelines, project grant administration manual, and other relevant information and resources are available on Commerce’s website at</w:t>
      </w:r>
      <w:r w:rsidR="0054649D">
        <w:t xml:space="preserve"> </w:t>
      </w:r>
      <w:r w:rsidR="00AC040E" w:rsidRPr="00AC040E">
        <w:rPr>
          <w:rStyle w:val="Hyperlink"/>
          <w:rFonts w:eastAsia="Times New Roman"/>
        </w:rPr>
        <w:t>https://housing.mt.gov/Community-Housing/CDBG-Housing</w:t>
      </w:r>
      <w:r>
        <w:t>.</w:t>
      </w:r>
    </w:p>
    <w:p w14:paraId="746C85BC" w14:textId="77777777" w:rsidR="007E5BF0" w:rsidRDefault="007E5BF0" w:rsidP="007E5BF0"/>
    <w:p w14:paraId="02536587" w14:textId="5966B1FC" w:rsidR="007E5BF0" w:rsidRDefault="2A735DB9" w:rsidP="007E5BF0">
      <w:r w:rsidRPr="00BB5575">
        <w:rPr>
          <w:rStyle w:val="Heading6Char"/>
        </w:rPr>
        <w:t>Describe how resources will be allocated among funding categories:</w:t>
      </w:r>
      <w:r>
        <w:t xml:space="preserve"> For Plan Year </w:t>
      </w:r>
      <w:r w:rsidR="7BB5670A">
        <w:t>5</w:t>
      </w:r>
      <w:r>
        <w:t xml:space="preserve">, Montana will </w:t>
      </w:r>
      <w:r w:rsidRPr="00C0025B">
        <w:t xml:space="preserve">allocate </w:t>
      </w:r>
      <w:r w:rsidR="303262B0">
        <w:t xml:space="preserve">an estimated </w:t>
      </w:r>
      <w:r w:rsidR="1664CBFB" w:rsidDel="2A735DB9">
        <w:t>$</w:t>
      </w:r>
      <w:r w:rsidR="1664CBFB" w:rsidDel="0BA7A9D2">
        <w:t>5</w:t>
      </w:r>
      <w:r w:rsidR="1664CBFB" w:rsidDel="2A735DB9">
        <w:t>00,000</w:t>
      </w:r>
      <w:r w:rsidR="64084E82">
        <w:t xml:space="preserve"> </w:t>
      </w:r>
      <w:r w:rsidRPr="00C0025B">
        <w:t>in</w:t>
      </w:r>
      <w:r>
        <w:t xml:space="preserve"> CDBG funds to Housing Stabilization Program activities. Funds that are not awarded within the first 12 months of the program year, as established in this Consolidated Plan and AAP, will be made available to the Public Facilities, Economic Development, and Affordable Housing Development and Rehabilitation categories of funds.</w:t>
      </w:r>
    </w:p>
    <w:p w14:paraId="546A92A1" w14:textId="77777777" w:rsidR="007E5BF0" w:rsidRDefault="007E5BF0" w:rsidP="007E5BF0"/>
    <w:p w14:paraId="1788193D" w14:textId="53C6ED28" w:rsidR="007E5BF0" w:rsidRDefault="007E5BF0" w:rsidP="007E5BF0">
      <w:r w:rsidRPr="331F13D3">
        <w:rPr>
          <w:rStyle w:val="Heading6Char"/>
        </w:rPr>
        <w:t>Describe threshold factors and grant size limits.</w:t>
      </w:r>
      <w:r>
        <w:t xml:space="preserve"> Each project funded must meet the CDBG National Objective of benefiting persons of LMI. Each housing unit must be inspected by an individual with construction repair expertise and have a budget for acquisition and/or rehab based on the inspection report to correct health and safety issues as well as </w:t>
      </w:r>
      <w:r w:rsidR="30C45B15">
        <w:t xml:space="preserve">accessibility </w:t>
      </w:r>
      <w:r>
        <w:t>improvements.</w:t>
      </w:r>
    </w:p>
    <w:p w14:paraId="5B3CEF1B" w14:textId="77777777" w:rsidR="007E5BF0" w:rsidRDefault="007E5BF0" w:rsidP="007E5BF0"/>
    <w:p w14:paraId="4BADD69E" w14:textId="14A4763D" w:rsidR="007E5BF0" w:rsidRDefault="4BA3547F" w:rsidP="007E5BF0">
      <w:r w:rsidRPr="4676B94E">
        <w:rPr>
          <w:rStyle w:val="Heading6Char"/>
        </w:rPr>
        <w:t>Anticipated Outcome Measure:</w:t>
      </w:r>
      <w:r>
        <w:t xml:space="preserve"> </w:t>
      </w:r>
      <w:r w:rsidR="16B554B6">
        <w:t>5</w:t>
      </w:r>
      <w:r w:rsidR="0054649D">
        <w:t xml:space="preserve"> </w:t>
      </w:r>
      <w:r>
        <w:t>homeowners will be assisted.</w:t>
      </w:r>
    </w:p>
    <w:p w14:paraId="670F563E" w14:textId="77777777" w:rsidR="007E5BF0" w:rsidRDefault="007E5BF0" w:rsidP="007E5BF0">
      <w:pPr>
        <w:pBdr>
          <w:bottom w:val="single" w:sz="4" w:space="1" w:color="auto"/>
        </w:pBdr>
      </w:pPr>
    </w:p>
    <w:p w14:paraId="526C8979" w14:textId="77777777" w:rsidR="007E5BF0" w:rsidRDefault="007E5BF0" w:rsidP="007E5BF0"/>
    <w:p w14:paraId="28E2D7F3" w14:textId="7BCFA35B" w:rsidR="007E5BF0" w:rsidRPr="00575F75" w:rsidRDefault="007E5BF0" w:rsidP="007E5BF0">
      <w:pPr>
        <w:pStyle w:val="Heading4"/>
        <w:rPr>
          <w:u w:val="none"/>
        </w:rPr>
      </w:pPr>
      <w:r w:rsidRPr="00575F75">
        <w:rPr>
          <w:i/>
          <w:iCs w:val="0"/>
          <w:u w:val="none"/>
        </w:rPr>
        <w:t>State Program Name:</w:t>
      </w:r>
      <w:r w:rsidRPr="00575F75">
        <w:rPr>
          <w:u w:val="none"/>
        </w:rPr>
        <w:t xml:space="preserve"> </w:t>
      </w:r>
      <w:r w:rsidRPr="00575F75">
        <w:rPr>
          <w:b/>
          <w:bCs/>
          <w:color w:val="auto"/>
          <w:u w:val="none"/>
        </w:rPr>
        <w:t xml:space="preserve">CDBG Public </w:t>
      </w:r>
      <w:r w:rsidR="00454FA3">
        <w:rPr>
          <w:b/>
          <w:bCs/>
          <w:color w:val="auto"/>
          <w:u w:val="none"/>
        </w:rPr>
        <w:t xml:space="preserve">and Community </w:t>
      </w:r>
      <w:r w:rsidRPr="00575F75">
        <w:rPr>
          <w:b/>
          <w:bCs/>
          <w:color w:val="auto"/>
          <w:u w:val="none"/>
        </w:rPr>
        <w:t>Facilities</w:t>
      </w:r>
    </w:p>
    <w:p w14:paraId="21835BD2" w14:textId="77777777" w:rsidR="007E5BF0" w:rsidRDefault="007E5BF0" w:rsidP="007E5BF0">
      <w:r w:rsidRPr="002931C9">
        <w:rPr>
          <w:rStyle w:val="Heading6Char"/>
        </w:rPr>
        <w:t>Funding Sources:</w:t>
      </w:r>
      <w:r w:rsidRPr="002931C9">
        <w:t xml:space="preserve"> CDBG</w:t>
      </w:r>
    </w:p>
    <w:p w14:paraId="47665943" w14:textId="77777777" w:rsidR="007E5BF0" w:rsidRDefault="007E5BF0" w:rsidP="007E5BF0"/>
    <w:p w14:paraId="3C7B2E3D" w14:textId="2DCDBF0A" w:rsidR="007E5BF0" w:rsidRDefault="007E5BF0" w:rsidP="007E5BF0">
      <w:r w:rsidRPr="30C7FF53">
        <w:rPr>
          <w:rStyle w:val="Heading6Char"/>
        </w:rPr>
        <w:t>Describe the State Program addressed by the Method of Distribution:</w:t>
      </w:r>
      <w:r>
        <w:t xml:space="preserve"> Within the Priority Needs to Improve and Sustain Vital Public Infrastructure, CDBG funds are utilized to construct new or rehabilitate existing public infrastructure or community service facilities to either benefit discrete geographical areas with an LMI percentage of 51% or higher or provide direct benefits to LMI persons.</w:t>
      </w:r>
    </w:p>
    <w:p w14:paraId="5CA9BE43" w14:textId="77777777" w:rsidR="007E5BF0" w:rsidRDefault="007E5BF0" w:rsidP="007E5BF0"/>
    <w:p w14:paraId="76F503F3" w14:textId="62B7F1E2" w:rsidR="007E5BF0" w:rsidRDefault="007E5BF0" w:rsidP="007E5BF0">
      <w:r w:rsidRPr="54FDEEE5">
        <w:rPr>
          <w:rStyle w:val="Heading6Char"/>
        </w:rPr>
        <w:t xml:space="preserve">Describe </w:t>
      </w:r>
      <w:proofErr w:type="gramStart"/>
      <w:r w:rsidRPr="54FDEEE5">
        <w:rPr>
          <w:rStyle w:val="Heading6Char"/>
        </w:rPr>
        <w:t>all of</w:t>
      </w:r>
      <w:proofErr w:type="gramEnd"/>
      <w:r w:rsidRPr="54FDEEE5">
        <w:rPr>
          <w:rStyle w:val="Heading6Char"/>
        </w:rPr>
        <w:t xml:space="preserve"> the criteria that will be used to select applications and the relative importance of these criteria:</w:t>
      </w:r>
      <w:r>
        <w:t xml:space="preserve"> CDBG Public Facilities funds are only available for non-entitlement units of general local government via a competitive process that involves completing the W2ASACT’s Uniform Application</w:t>
      </w:r>
      <w:r w:rsidR="00DA7080">
        <w:t xml:space="preserve"> and associated </w:t>
      </w:r>
      <w:r w:rsidR="00453072">
        <w:t>application materials</w:t>
      </w:r>
      <w:r>
        <w:t xml:space="preserve">. CDBG Facilities applications that provide support for </w:t>
      </w:r>
      <w:proofErr w:type="gramStart"/>
      <w:r>
        <w:t>a community</w:t>
      </w:r>
      <w:proofErr w:type="gramEnd"/>
      <w:r>
        <w:t xml:space="preserve"> service facility</w:t>
      </w:r>
      <w:r w:rsidR="0063251B">
        <w:t xml:space="preserve"> such as</w:t>
      </w:r>
      <w:r w:rsidR="005F541C">
        <w:t xml:space="preserve"> food banks, head start centers, nursing homes, etc. are reviewed via a competitive process based on application materials</w:t>
      </w:r>
      <w:r>
        <w:t xml:space="preserve">. Commerce will provide further guidance in its application guidelines. The CDBG Public Facilities ranking criteria and maximum possible points for each criterion are listed in </w:t>
      </w:r>
      <w:r w:rsidRPr="54FDEEE5">
        <w:rPr>
          <w:b/>
          <w:bCs/>
        </w:rPr>
        <w:t>Table AP-2</w:t>
      </w:r>
      <w:r>
        <w:t xml:space="preserve">. </w:t>
      </w:r>
    </w:p>
    <w:p w14:paraId="30A58BE5" w14:textId="77777777" w:rsidR="007E5BF0" w:rsidRDefault="007E5BF0" w:rsidP="007E5BF0"/>
    <w:p w14:paraId="59F4AB87" w14:textId="641474AA" w:rsidR="007E5BF0" w:rsidRPr="00FC029D" w:rsidRDefault="007E5BF0" w:rsidP="007E5BF0">
      <w:pPr>
        <w:pStyle w:val="TableCaption"/>
      </w:pPr>
      <w:bookmarkStart w:id="60" w:name="_Toc70505198"/>
      <w:bookmarkStart w:id="61" w:name="_Toc73081446"/>
      <w:r>
        <w:t xml:space="preserve">Table AP-2 – CDBG Public </w:t>
      </w:r>
      <w:r w:rsidR="00454FA3">
        <w:t xml:space="preserve">and Community </w:t>
      </w:r>
      <w:r>
        <w:t>Facilities Ranking Criteria</w:t>
      </w:r>
      <w:bookmarkEnd w:id="60"/>
      <w:bookmarkEnd w:id="61"/>
    </w:p>
    <w:tbl>
      <w:tblPr>
        <w:tblW w:w="5000" w:type="pct"/>
        <w:jc w:val="center"/>
        <w:tblCellMar>
          <w:left w:w="115" w:type="dxa"/>
          <w:right w:w="115" w:type="dxa"/>
        </w:tblCellMar>
        <w:tblLook w:val="01E0" w:firstRow="1" w:lastRow="1" w:firstColumn="1" w:lastColumn="1" w:noHBand="0" w:noVBand="0"/>
        <w:tblCaption w:val="CDBG Public and Community Facilities Ranking Criteria (Table AP-2)"/>
        <w:tblDescription w:val="This table shows Public and Community Facilities ranking criteria for the Community Development Block Grant Program."/>
      </w:tblPr>
      <w:tblGrid>
        <w:gridCol w:w="5498"/>
        <w:gridCol w:w="3850"/>
      </w:tblGrid>
      <w:tr w:rsidR="007E5BF0" w14:paraId="035911D1" w14:textId="77777777" w:rsidTr="0044257C">
        <w:trPr>
          <w:trHeight w:val="20"/>
          <w:jc w:val="center"/>
        </w:trPr>
        <w:tc>
          <w:tcPr>
            <w:tcW w:w="2941" w:type="pct"/>
            <w:tcBorders>
              <w:top w:val="single" w:sz="5" w:space="0" w:color="000000"/>
              <w:left w:val="single" w:sz="5" w:space="0" w:color="000000"/>
              <w:bottom w:val="single" w:sz="5" w:space="0" w:color="000000"/>
              <w:right w:val="single" w:sz="5" w:space="0" w:color="000000"/>
            </w:tcBorders>
            <w:shd w:val="clear" w:color="auto" w:fill="C5D4D5"/>
            <w:vAlign w:val="center"/>
          </w:tcPr>
          <w:p w14:paraId="1A6543FF" w14:textId="77777777" w:rsidR="007E5BF0" w:rsidRPr="00175CD8" w:rsidRDefault="007E5BF0" w:rsidP="0044257C">
            <w:pPr>
              <w:rPr>
                <w:sz w:val="20"/>
                <w:szCs w:val="20"/>
              </w:rPr>
            </w:pPr>
            <w:r>
              <w:rPr>
                <w:sz w:val="20"/>
                <w:szCs w:val="20"/>
              </w:rPr>
              <w:lastRenderedPageBreak/>
              <w:t>Ranking Criterion</w:t>
            </w:r>
          </w:p>
        </w:tc>
        <w:tc>
          <w:tcPr>
            <w:tcW w:w="2059" w:type="pct"/>
            <w:tcBorders>
              <w:top w:val="single" w:sz="5" w:space="0" w:color="000000"/>
              <w:left w:val="single" w:sz="5" w:space="0" w:color="000000"/>
              <w:bottom w:val="single" w:sz="5" w:space="0" w:color="000000"/>
              <w:right w:val="single" w:sz="5" w:space="0" w:color="000000"/>
            </w:tcBorders>
            <w:shd w:val="clear" w:color="auto" w:fill="C5D4D5"/>
            <w:vAlign w:val="center"/>
          </w:tcPr>
          <w:p w14:paraId="39EE3AF8" w14:textId="77777777" w:rsidR="007E5BF0" w:rsidRPr="00175CD8" w:rsidRDefault="007E5BF0" w:rsidP="0044257C">
            <w:pPr>
              <w:jc w:val="center"/>
              <w:rPr>
                <w:sz w:val="20"/>
                <w:szCs w:val="20"/>
              </w:rPr>
            </w:pPr>
            <w:r w:rsidRPr="00175CD8">
              <w:rPr>
                <w:sz w:val="20"/>
                <w:szCs w:val="20"/>
              </w:rPr>
              <w:t>Maximum Possible Points</w:t>
            </w:r>
          </w:p>
        </w:tc>
      </w:tr>
      <w:tr w:rsidR="007E5BF0" w14:paraId="12A5261E" w14:textId="77777777" w:rsidTr="0044257C">
        <w:trPr>
          <w:trHeight w:val="20"/>
          <w:jc w:val="center"/>
        </w:trPr>
        <w:tc>
          <w:tcPr>
            <w:tcW w:w="2941" w:type="pct"/>
            <w:tcBorders>
              <w:top w:val="single" w:sz="5" w:space="0" w:color="000000"/>
              <w:left w:val="single" w:sz="5" w:space="0" w:color="000000"/>
              <w:bottom w:val="single" w:sz="5" w:space="0" w:color="000000"/>
              <w:right w:val="single" w:sz="5" w:space="0" w:color="000000"/>
            </w:tcBorders>
            <w:shd w:val="clear" w:color="auto" w:fill="DDE6E7"/>
            <w:vAlign w:val="center"/>
          </w:tcPr>
          <w:p w14:paraId="0B0D2A9D" w14:textId="77777777" w:rsidR="007E5BF0" w:rsidRPr="00175CD8" w:rsidRDefault="007E5BF0" w:rsidP="0044257C">
            <w:pPr>
              <w:rPr>
                <w:sz w:val="20"/>
                <w:szCs w:val="20"/>
              </w:rPr>
            </w:pPr>
            <w:r w:rsidRPr="00175CD8">
              <w:rPr>
                <w:sz w:val="20"/>
                <w:szCs w:val="20"/>
              </w:rPr>
              <w:t>Community Planning</w:t>
            </w:r>
          </w:p>
        </w:tc>
        <w:tc>
          <w:tcPr>
            <w:tcW w:w="2059" w:type="pct"/>
            <w:tcBorders>
              <w:top w:val="single" w:sz="5" w:space="0" w:color="000000"/>
              <w:left w:val="single" w:sz="5" w:space="0" w:color="000000"/>
              <w:bottom w:val="single" w:sz="5" w:space="0" w:color="000000"/>
              <w:right w:val="single" w:sz="5" w:space="0" w:color="000000"/>
            </w:tcBorders>
            <w:vAlign w:val="center"/>
          </w:tcPr>
          <w:p w14:paraId="1328788B" w14:textId="77777777" w:rsidR="007E5BF0" w:rsidRPr="00175CD8" w:rsidRDefault="007E5BF0" w:rsidP="0044257C">
            <w:pPr>
              <w:jc w:val="center"/>
              <w:rPr>
                <w:sz w:val="20"/>
                <w:szCs w:val="20"/>
              </w:rPr>
            </w:pPr>
            <w:r w:rsidRPr="00175CD8">
              <w:rPr>
                <w:sz w:val="20"/>
                <w:szCs w:val="20"/>
              </w:rPr>
              <w:t>175</w:t>
            </w:r>
          </w:p>
        </w:tc>
      </w:tr>
      <w:tr w:rsidR="007E5BF0" w14:paraId="490E1417" w14:textId="77777777" w:rsidTr="0044257C">
        <w:trPr>
          <w:trHeight w:val="20"/>
          <w:jc w:val="center"/>
        </w:trPr>
        <w:tc>
          <w:tcPr>
            <w:tcW w:w="2941" w:type="pct"/>
            <w:tcBorders>
              <w:top w:val="single" w:sz="5" w:space="0" w:color="000000"/>
              <w:left w:val="single" w:sz="5" w:space="0" w:color="000000"/>
              <w:bottom w:val="single" w:sz="5" w:space="0" w:color="000000"/>
              <w:right w:val="single" w:sz="5" w:space="0" w:color="000000"/>
            </w:tcBorders>
            <w:shd w:val="clear" w:color="auto" w:fill="DDE6E7"/>
            <w:vAlign w:val="center"/>
          </w:tcPr>
          <w:p w14:paraId="64B41A86" w14:textId="77777777" w:rsidR="007E5BF0" w:rsidRPr="00175CD8" w:rsidRDefault="007E5BF0" w:rsidP="0044257C">
            <w:pPr>
              <w:rPr>
                <w:sz w:val="20"/>
                <w:szCs w:val="20"/>
              </w:rPr>
            </w:pPr>
            <w:r w:rsidRPr="00175CD8">
              <w:rPr>
                <w:sz w:val="20"/>
                <w:szCs w:val="20"/>
              </w:rPr>
              <w:t>Need for Project</w:t>
            </w:r>
          </w:p>
        </w:tc>
        <w:tc>
          <w:tcPr>
            <w:tcW w:w="2059" w:type="pct"/>
            <w:tcBorders>
              <w:top w:val="single" w:sz="5" w:space="0" w:color="000000"/>
              <w:left w:val="single" w:sz="5" w:space="0" w:color="000000"/>
              <w:bottom w:val="single" w:sz="5" w:space="0" w:color="000000"/>
              <w:right w:val="single" w:sz="5" w:space="0" w:color="000000"/>
            </w:tcBorders>
            <w:vAlign w:val="center"/>
          </w:tcPr>
          <w:p w14:paraId="6C6A6769" w14:textId="77777777" w:rsidR="007E5BF0" w:rsidRPr="00175CD8" w:rsidRDefault="007E5BF0" w:rsidP="0044257C">
            <w:pPr>
              <w:jc w:val="center"/>
              <w:rPr>
                <w:sz w:val="20"/>
                <w:szCs w:val="20"/>
              </w:rPr>
            </w:pPr>
            <w:r w:rsidRPr="00175CD8">
              <w:rPr>
                <w:sz w:val="20"/>
                <w:szCs w:val="20"/>
              </w:rPr>
              <w:t>175</w:t>
            </w:r>
          </w:p>
        </w:tc>
      </w:tr>
      <w:tr w:rsidR="007E5BF0" w14:paraId="797CD801" w14:textId="77777777" w:rsidTr="0044257C">
        <w:trPr>
          <w:trHeight w:val="20"/>
          <w:jc w:val="center"/>
        </w:trPr>
        <w:tc>
          <w:tcPr>
            <w:tcW w:w="2941" w:type="pct"/>
            <w:tcBorders>
              <w:top w:val="single" w:sz="5" w:space="0" w:color="000000"/>
              <w:left w:val="single" w:sz="5" w:space="0" w:color="000000"/>
              <w:bottom w:val="single" w:sz="5" w:space="0" w:color="000000"/>
              <w:right w:val="single" w:sz="5" w:space="0" w:color="000000"/>
            </w:tcBorders>
            <w:shd w:val="clear" w:color="auto" w:fill="DDE6E7"/>
            <w:vAlign w:val="center"/>
          </w:tcPr>
          <w:p w14:paraId="3C259464" w14:textId="77777777" w:rsidR="007E5BF0" w:rsidRPr="00175CD8" w:rsidRDefault="007E5BF0" w:rsidP="0044257C">
            <w:pPr>
              <w:rPr>
                <w:sz w:val="20"/>
                <w:szCs w:val="20"/>
              </w:rPr>
            </w:pPr>
            <w:r w:rsidRPr="00175CD8">
              <w:rPr>
                <w:sz w:val="20"/>
                <w:szCs w:val="20"/>
              </w:rPr>
              <w:t>Project Concept and Technical Design</w:t>
            </w:r>
          </w:p>
        </w:tc>
        <w:tc>
          <w:tcPr>
            <w:tcW w:w="2059" w:type="pct"/>
            <w:tcBorders>
              <w:top w:val="single" w:sz="5" w:space="0" w:color="000000"/>
              <w:left w:val="single" w:sz="5" w:space="0" w:color="000000"/>
              <w:bottom w:val="single" w:sz="5" w:space="0" w:color="000000"/>
              <w:right w:val="single" w:sz="5" w:space="0" w:color="000000"/>
            </w:tcBorders>
            <w:vAlign w:val="center"/>
          </w:tcPr>
          <w:p w14:paraId="08BA9899" w14:textId="77777777" w:rsidR="007E5BF0" w:rsidRPr="00175CD8" w:rsidRDefault="007E5BF0" w:rsidP="0044257C">
            <w:pPr>
              <w:jc w:val="center"/>
              <w:rPr>
                <w:sz w:val="20"/>
                <w:szCs w:val="20"/>
              </w:rPr>
            </w:pPr>
            <w:r w:rsidRPr="00175CD8">
              <w:rPr>
                <w:sz w:val="20"/>
                <w:szCs w:val="20"/>
              </w:rPr>
              <w:t>150</w:t>
            </w:r>
          </w:p>
        </w:tc>
      </w:tr>
      <w:tr w:rsidR="007E5BF0" w14:paraId="2C61CE0E" w14:textId="77777777" w:rsidTr="0044257C">
        <w:trPr>
          <w:trHeight w:val="20"/>
          <w:jc w:val="center"/>
        </w:trPr>
        <w:tc>
          <w:tcPr>
            <w:tcW w:w="2941" w:type="pct"/>
            <w:tcBorders>
              <w:top w:val="single" w:sz="5" w:space="0" w:color="000000"/>
              <w:left w:val="single" w:sz="5" w:space="0" w:color="000000"/>
              <w:bottom w:val="single" w:sz="5" w:space="0" w:color="000000"/>
              <w:right w:val="single" w:sz="5" w:space="0" w:color="000000"/>
            </w:tcBorders>
            <w:shd w:val="clear" w:color="auto" w:fill="DDE6E7"/>
            <w:vAlign w:val="center"/>
          </w:tcPr>
          <w:p w14:paraId="4577A7EE" w14:textId="77777777" w:rsidR="007E5BF0" w:rsidRPr="00175CD8" w:rsidRDefault="007E5BF0" w:rsidP="0044257C">
            <w:pPr>
              <w:rPr>
                <w:sz w:val="20"/>
                <w:szCs w:val="20"/>
              </w:rPr>
            </w:pPr>
            <w:r w:rsidRPr="00175CD8">
              <w:rPr>
                <w:sz w:val="20"/>
                <w:szCs w:val="20"/>
              </w:rPr>
              <w:t>Community Efforts and Citizen Participation</w:t>
            </w:r>
          </w:p>
        </w:tc>
        <w:tc>
          <w:tcPr>
            <w:tcW w:w="2059" w:type="pct"/>
            <w:tcBorders>
              <w:top w:val="single" w:sz="5" w:space="0" w:color="000000"/>
              <w:left w:val="single" w:sz="5" w:space="0" w:color="000000"/>
              <w:bottom w:val="single" w:sz="5" w:space="0" w:color="000000"/>
              <w:right w:val="single" w:sz="5" w:space="0" w:color="000000"/>
            </w:tcBorders>
            <w:vAlign w:val="center"/>
          </w:tcPr>
          <w:p w14:paraId="1A72422F" w14:textId="77777777" w:rsidR="007E5BF0" w:rsidRPr="00175CD8" w:rsidRDefault="007E5BF0" w:rsidP="0044257C">
            <w:pPr>
              <w:jc w:val="center"/>
              <w:rPr>
                <w:sz w:val="20"/>
                <w:szCs w:val="20"/>
              </w:rPr>
            </w:pPr>
            <w:r w:rsidRPr="00175CD8">
              <w:rPr>
                <w:sz w:val="20"/>
                <w:szCs w:val="20"/>
              </w:rPr>
              <w:t>100</w:t>
            </w:r>
          </w:p>
        </w:tc>
      </w:tr>
      <w:tr w:rsidR="007E5BF0" w14:paraId="7708E88C" w14:textId="77777777" w:rsidTr="0044257C">
        <w:trPr>
          <w:trHeight w:val="20"/>
          <w:jc w:val="center"/>
        </w:trPr>
        <w:tc>
          <w:tcPr>
            <w:tcW w:w="2941" w:type="pct"/>
            <w:tcBorders>
              <w:top w:val="single" w:sz="5" w:space="0" w:color="000000"/>
              <w:left w:val="single" w:sz="5" w:space="0" w:color="000000"/>
              <w:bottom w:val="single" w:sz="5" w:space="0" w:color="000000"/>
              <w:right w:val="single" w:sz="5" w:space="0" w:color="000000"/>
            </w:tcBorders>
            <w:shd w:val="clear" w:color="auto" w:fill="DDE6E7"/>
            <w:vAlign w:val="center"/>
          </w:tcPr>
          <w:p w14:paraId="3F2AC5C7" w14:textId="77777777" w:rsidR="007E5BF0" w:rsidRPr="00175CD8" w:rsidRDefault="007E5BF0" w:rsidP="0044257C">
            <w:pPr>
              <w:rPr>
                <w:sz w:val="20"/>
                <w:szCs w:val="20"/>
              </w:rPr>
            </w:pPr>
            <w:r w:rsidRPr="00175CD8">
              <w:rPr>
                <w:sz w:val="20"/>
                <w:szCs w:val="20"/>
              </w:rPr>
              <w:t>Need for Financial Assistance</w:t>
            </w:r>
          </w:p>
        </w:tc>
        <w:tc>
          <w:tcPr>
            <w:tcW w:w="2059" w:type="pct"/>
            <w:tcBorders>
              <w:top w:val="single" w:sz="5" w:space="0" w:color="000000"/>
              <w:left w:val="single" w:sz="5" w:space="0" w:color="000000"/>
              <w:bottom w:val="single" w:sz="5" w:space="0" w:color="000000"/>
              <w:right w:val="single" w:sz="5" w:space="0" w:color="000000"/>
            </w:tcBorders>
            <w:vAlign w:val="center"/>
          </w:tcPr>
          <w:p w14:paraId="66F24333" w14:textId="77777777" w:rsidR="007E5BF0" w:rsidRPr="00175CD8" w:rsidRDefault="007E5BF0" w:rsidP="0044257C">
            <w:pPr>
              <w:jc w:val="center"/>
              <w:rPr>
                <w:sz w:val="20"/>
                <w:szCs w:val="20"/>
              </w:rPr>
            </w:pPr>
            <w:r w:rsidRPr="00175CD8">
              <w:rPr>
                <w:sz w:val="20"/>
                <w:szCs w:val="20"/>
              </w:rPr>
              <w:t>200</w:t>
            </w:r>
          </w:p>
        </w:tc>
      </w:tr>
      <w:tr w:rsidR="007E5BF0" w14:paraId="20DACA16" w14:textId="77777777" w:rsidTr="0044257C">
        <w:trPr>
          <w:trHeight w:val="20"/>
          <w:jc w:val="center"/>
        </w:trPr>
        <w:tc>
          <w:tcPr>
            <w:tcW w:w="2941" w:type="pct"/>
            <w:tcBorders>
              <w:top w:val="single" w:sz="5" w:space="0" w:color="000000"/>
              <w:left w:val="single" w:sz="5" w:space="0" w:color="000000"/>
              <w:bottom w:val="single" w:sz="5" w:space="0" w:color="000000"/>
              <w:right w:val="single" w:sz="5" w:space="0" w:color="000000"/>
            </w:tcBorders>
            <w:shd w:val="clear" w:color="auto" w:fill="DDE6E7"/>
            <w:vAlign w:val="center"/>
          </w:tcPr>
          <w:p w14:paraId="2BCE27B7" w14:textId="77777777" w:rsidR="007E5BF0" w:rsidRPr="00175CD8" w:rsidRDefault="007E5BF0" w:rsidP="0044257C">
            <w:pPr>
              <w:rPr>
                <w:sz w:val="20"/>
                <w:szCs w:val="20"/>
              </w:rPr>
            </w:pPr>
            <w:r w:rsidRPr="00175CD8">
              <w:rPr>
                <w:sz w:val="20"/>
                <w:szCs w:val="20"/>
              </w:rPr>
              <w:t>Benefit to Low- and Moderate-Income Persons</w:t>
            </w:r>
          </w:p>
        </w:tc>
        <w:tc>
          <w:tcPr>
            <w:tcW w:w="2059" w:type="pct"/>
            <w:tcBorders>
              <w:top w:val="single" w:sz="5" w:space="0" w:color="000000"/>
              <w:left w:val="single" w:sz="5" w:space="0" w:color="000000"/>
              <w:bottom w:val="single" w:sz="5" w:space="0" w:color="000000"/>
              <w:right w:val="single" w:sz="5" w:space="0" w:color="000000"/>
            </w:tcBorders>
            <w:vAlign w:val="center"/>
          </w:tcPr>
          <w:p w14:paraId="1ED65DD7" w14:textId="77777777" w:rsidR="007E5BF0" w:rsidRPr="00175CD8" w:rsidRDefault="007E5BF0" w:rsidP="0044257C">
            <w:pPr>
              <w:jc w:val="center"/>
              <w:rPr>
                <w:sz w:val="20"/>
                <w:szCs w:val="20"/>
              </w:rPr>
            </w:pPr>
            <w:r w:rsidRPr="00175CD8">
              <w:rPr>
                <w:sz w:val="20"/>
                <w:szCs w:val="20"/>
              </w:rPr>
              <w:t>150</w:t>
            </w:r>
          </w:p>
        </w:tc>
      </w:tr>
      <w:tr w:rsidR="007E5BF0" w14:paraId="5CE414B4" w14:textId="77777777" w:rsidTr="0044257C">
        <w:trPr>
          <w:trHeight w:val="20"/>
          <w:jc w:val="center"/>
        </w:trPr>
        <w:tc>
          <w:tcPr>
            <w:tcW w:w="2941" w:type="pct"/>
            <w:tcBorders>
              <w:top w:val="single" w:sz="5" w:space="0" w:color="000000"/>
              <w:left w:val="single" w:sz="5" w:space="0" w:color="000000"/>
              <w:bottom w:val="single" w:sz="5" w:space="0" w:color="000000"/>
              <w:right w:val="single" w:sz="5" w:space="0" w:color="000000"/>
            </w:tcBorders>
            <w:shd w:val="clear" w:color="auto" w:fill="DDE6E7"/>
            <w:vAlign w:val="center"/>
          </w:tcPr>
          <w:p w14:paraId="048784B0" w14:textId="77777777" w:rsidR="007E5BF0" w:rsidRPr="00175CD8" w:rsidRDefault="007E5BF0" w:rsidP="0044257C">
            <w:pPr>
              <w:rPr>
                <w:sz w:val="20"/>
                <w:szCs w:val="20"/>
              </w:rPr>
            </w:pPr>
            <w:r w:rsidRPr="00175CD8">
              <w:rPr>
                <w:sz w:val="20"/>
                <w:szCs w:val="20"/>
              </w:rPr>
              <w:t>Implementation and Management</w:t>
            </w:r>
          </w:p>
        </w:tc>
        <w:tc>
          <w:tcPr>
            <w:tcW w:w="2059" w:type="pct"/>
            <w:tcBorders>
              <w:top w:val="single" w:sz="5" w:space="0" w:color="000000"/>
              <w:left w:val="single" w:sz="5" w:space="0" w:color="000000"/>
              <w:bottom w:val="single" w:sz="5" w:space="0" w:color="000000"/>
              <w:right w:val="single" w:sz="5" w:space="0" w:color="000000"/>
            </w:tcBorders>
            <w:vAlign w:val="center"/>
          </w:tcPr>
          <w:p w14:paraId="5DFA0D7B" w14:textId="77777777" w:rsidR="007E5BF0" w:rsidRPr="00175CD8" w:rsidRDefault="007E5BF0" w:rsidP="0044257C">
            <w:pPr>
              <w:jc w:val="center"/>
              <w:rPr>
                <w:sz w:val="20"/>
                <w:szCs w:val="20"/>
              </w:rPr>
            </w:pPr>
            <w:r w:rsidRPr="00175CD8">
              <w:rPr>
                <w:sz w:val="20"/>
                <w:szCs w:val="20"/>
              </w:rPr>
              <w:t>175</w:t>
            </w:r>
          </w:p>
        </w:tc>
      </w:tr>
      <w:tr w:rsidR="007E5BF0" w14:paraId="1D942721" w14:textId="77777777" w:rsidTr="0044257C">
        <w:trPr>
          <w:trHeight w:val="20"/>
          <w:jc w:val="center"/>
        </w:trPr>
        <w:tc>
          <w:tcPr>
            <w:tcW w:w="2941" w:type="pct"/>
            <w:tcBorders>
              <w:top w:val="single" w:sz="5" w:space="0" w:color="000000"/>
              <w:left w:val="single" w:sz="5" w:space="0" w:color="000000"/>
              <w:bottom w:val="single" w:sz="5" w:space="0" w:color="000000"/>
              <w:right w:val="single" w:sz="5" w:space="0" w:color="000000"/>
            </w:tcBorders>
            <w:shd w:val="clear" w:color="auto" w:fill="DDE6E7"/>
            <w:vAlign w:val="center"/>
          </w:tcPr>
          <w:p w14:paraId="34FB223F" w14:textId="77777777" w:rsidR="007E5BF0" w:rsidRPr="00175CD8" w:rsidRDefault="007E5BF0" w:rsidP="0044257C">
            <w:pPr>
              <w:rPr>
                <w:b/>
                <w:bCs/>
                <w:sz w:val="20"/>
                <w:szCs w:val="20"/>
              </w:rPr>
            </w:pPr>
            <w:r w:rsidRPr="00175CD8">
              <w:rPr>
                <w:b/>
                <w:bCs/>
                <w:sz w:val="20"/>
                <w:szCs w:val="20"/>
              </w:rPr>
              <w:t>Total Maximum Possible Points</w:t>
            </w:r>
          </w:p>
        </w:tc>
        <w:tc>
          <w:tcPr>
            <w:tcW w:w="2059" w:type="pct"/>
            <w:tcBorders>
              <w:top w:val="single" w:sz="5" w:space="0" w:color="000000"/>
              <w:left w:val="single" w:sz="5" w:space="0" w:color="000000"/>
              <w:bottom w:val="single" w:sz="5" w:space="0" w:color="000000"/>
              <w:right w:val="single" w:sz="5" w:space="0" w:color="000000"/>
            </w:tcBorders>
            <w:vAlign w:val="center"/>
          </w:tcPr>
          <w:p w14:paraId="215D9119" w14:textId="77777777" w:rsidR="007E5BF0" w:rsidRPr="00175CD8" w:rsidRDefault="007E5BF0" w:rsidP="0044257C">
            <w:pPr>
              <w:jc w:val="center"/>
              <w:rPr>
                <w:b/>
                <w:bCs/>
                <w:sz w:val="20"/>
                <w:szCs w:val="20"/>
              </w:rPr>
            </w:pPr>
            <w:r w:rsidRPr="00175CD8">
              <w:rPr>
                <w:b/>
                <w:bCs/>
                <w:sz w:val="20"/>
                <w:szCs w:val="20"/>
              </w:rPr>
              <w:t>1,125</w:t>
            </w:r>
          </w:p>
        </w:tc>
      </w:tr>
    </w:tbl>
    <w:p w14:paraId="57ADD58F" w14:textId="77777777" w:rsidR="007E5BF0" w:rsidRDefault="007E5BF0" w:rsidP="007E5BF0"/>
    <w:p w14:paraId="42E6AE1C" w14:textId="5FB6BACA" w:rsidR="007E5BF0" w:rsidRDefault="007E5BF0" w:rsidP="007E5BF0">
      <w:r w:rsidRPr="00BB5575">
        <w:rPr>
          <w:rStyle w:val="Heading6Char"/>
        </w:rPr>
        <w:t>If only summary criteria were described, how can potential applicants access application manuals or other state publications describing the application criteria? (CDBG only):</w:t>
      </w:r>
      <w:r>
        <w:t xml:space="preserve"> CDBG grant program applications, grant application guidelines, project grant administration manual, and other relevant information and resources are available on Commerce’s website at </w:t>
      </w:r>
      <w:hyperlink r:id="rId27" w:history="1">
        <w:r w:rsidR="00B35DF1">
          <w:rPr>
            <w:rStyle w:val="Hyperlink"/>
            <w:rFonts w:eastAsia="Times New Roman"/>
          </w:rPr>
          <w:t>https://comdev.mt.gov/Programs-and-Boards/Community-Development-Block-Grant-Program/Public-and-Community-Facilities</w:t>
        </w:r>
      </w:hyperlink>
      <w:r>
        <w:t>.</w:t>
      </w:r>
    </w:p>
    <w:p w14:paraId="26B235E0" w14:textId="77777777" w:rsidR="007E5BF0" w:rsidRDefault="007E5BF0" w:rsidP="007E5BF0"/>
    <w:p w14:paraId="1DC993B7" w14:textId="19FC2F36" w:rsidR="007E5BF0" w:rsidRDefault="007E5BF0" w:rsidP="007E5BF0">
      <w:r w:rsidRPr="414323AB">
        <w:rPr>
          <w:rStyle w:val="Heading6Char"/>
        </w:rPr>
        <w:t>Describe how resources will be allocated among funding categories:</w:t>
      </w:r>
      <w:r>
        <w:t xml:space="preserve"> For Plan Year </w:t>
      </w:r>
      <w:r w:rsidR="005D3B7A">
        <w:t>5</w:t>
      </w:r>
      <w:r>
        <w:t xml:space="preserve">, Montana will allocate </w:t>
      </w:r>
      <w:r w:rsidR="00BD72E8">
        <w:t>$2,</w:t>
      </w:r>
      <w:r w:rsidR="00CF0362">
        <w:t>5</w:t>
      </w:r>
      <w:r w:rsidR="007C55D1">
        <w:t>87,331</w:t>
      </w:r>
      <w:r w:rsidR="00BD72E8">
        <w:t xml:space="preserve"> </w:t>
      </w:r>
      <w:r>
        <w:t xml:space="preserve">in CDBG funds to Public </w:t>
      </w:r>
      <w:r w:rsidR="00D67E68">
        <w:t xml:space="preserve">and Community </w:t>
      </w:r>
      <w:r>
        <w:t xml:space="preserve">Facilities activities. The Public </w:t>
      </w:r>
      <w:r w:rsidR="00D67E68">
        <w:t xml:space="preserve">and Community </w:t>
      </w:r>
      <w:r>
        <w:t xml:space="preserve">Facilities allocation amount is based on beneficiary data of the project area, the feasibility and need for the activity, and the availability of other federal or state resources for the activity. </w:t>
      </w:r>
    </w:p>
    <w:p w14:paraId="593495F1" w14:textId="77777777" w:rsidR="007E5BF0" w:rsidRDefault="007E5BF0" w:rsidP="007E5BF0"/>
    <w:p w14:paraId="51691CCF" w14:textId="269993B1" w:rsidR="007E5BF0" w:rsidRDefault="007E5BF0" w:rsidP="007E5BF0">
      <w:r w:rsidRPr="00BB5575">
        <w:rPr>
          <w:rStyle w:val="Heading6Char"/>
        </w:rPr>
        <w:t>Describe threshold factors and grant size limits.</w:t>
      </w:r>
      <w:r>
        <w:t xml:space="preserve"> Each project funded must meet the CDBG National Objective of benefitting persons of LMI. </w:t>
      </w:r>
      <w:r w:rsidR="0036111A">
        <w:t xml:space="preserve">The maximum amount of </w:t>
      </w:r>
      <w:r>
        <w:t xml:space="preserve">CDBG funds </w:t>
      </w:r>
      <w:r w:rsidR="0036111A">
        <w:t xml:space="preserve">to be awarded is detailed in the published CDBG Public and Community Facilities Application Guidelines.  </w:t>
      </w:r>
    </w:p>
    <w:p w14:paraId="48831E5F" w14:textId="77777777" w:rsidR="007E5BF0" w:rsidRDefault="007E5BF0" w:rsidP="007E5BF0"/>
    <w:p w14:paraId="6930EEF0" w14:textId="6D01C598" w:rsidR="007E5BF0" w:rsidRDefault="1664CBFB" w:rsidP="007E5BF0">
      <w:r w:rsidRPr="6EE14823">
        <w:rPr>
          <w:rStyle w:val="Heading6Char"/>
        </w:rPr>
        <w:t>Anticipated Outcome Measure:</w:t>
      </w:r>
      <w:r>
        <w:t xml:space="preserve"> Approximately LMI persons will be served with new or improved public infrastructure systems; approximately</w:t>
      </w:r>
      <w:r w:rsidR="0023706D">
        <w:t xml:space="preserve"> 1,000</w:t>
      </w:r>
      <w:r>
        <w:t xml:space="preserve"> LMI households will be served with access to new or improved community facilities that provide support services to LMI households</w:t>
      </w:r>
      <w:r w:rsidR="0054649D">
        <w:t>.</w:t>
      </w:r>
    </w:p>
    <w:p w14:paraId="154B5185" w14:textId="77777777" w:rsidR="007E5BF0" w:rsidRDefault="007E5BF0" w:rsidP="007E5BF0">
      <w:pPr>
        <w:pBdr>
          <w:bottom w:val="single" w:sz="4" w:space="1" w:color="auto"/>
        </w:pBdr>
      </w:pPr>
    </w:p>
    <w:p w14:paraId="0583171D" w14:textId="77777777" w:rsidR="007E5BF0" w:rsidRDefault="007E5BF0" w:rsidP="007E5BF0"/>
    <w:p w14:paraId="111A6511" w14:textId="77777777" w:rsidR="007E5BF0" w:rsidRPr="0018469E" w:rsidRDefault="007E5BF0" w:rsidP="007E5BF0">
      <w:pPr>
        <w:pStyle w:val="Heading4"/>
        <w:rPr>
          <w:u w:val="none"/>
        </w:rPr>
      </w:pPr>
      <w:r w:rsidRPr="0018469E">
        <w:rPr>
          <w:i/>
          <w:iCs w:val="0"/>
          <w:u w:val="none"/>
        </w:rPr>
        <w:t>State Program Name:</w:t>
      </w:r>
      <w:r w:rsidRPr="0018469E">
        <w:rPr>
          <w:u w:val="none"/>
        </w:rPr>
        <w:t xml:space="preserve"> </w:t>
      </w:r>
      <w:bookmarkStart w:id="62" w:name="_Hlk63073261"/>
      <w:r w:rsidRPr="0018469E">
        <w:rPr>
          <w:b/>
          <w:bCs/>
          <w:color w:val="auto"/>
          <w:u w:val="none"/>
        </w:rPr>
        <w:t>CDBG Economic Development</w:t>
      </w:r>
      <w:bookmarkEnd w:id="62"/>
    </w:p>
    <w:p w14:paraId="3CA3F320" w14:textId="77777777" w:rsidR="007E5BF0" w:rsidRDefault="007E5BF0" w:rsidP="007E5BF0">
      <w:r w:rsidRPr="002931C9">
        <w:rPr>
          <w:rStyle w:val="Heading6Char"/>
        </w:rPr>
        <w:t>Funding Sources:</w:t>
      </w:r>
      <w:r>
        <w:t xml:space="preserve"> CDBG</w:t>
      </w:r>
    </w:p>
    <w:p w14:paraId="78B2E412" w14:textId="77777777" w:rsidR="007E5BF0" w:rsidRDefault="007E5BF0" w:rsidP="007E5BF0"/>
    <w:p w14:paraId="01E47164" w14:textId="7E15722D" w:rsidR="007E5BF0" w:rsidRDefault="007E5BF0" w:rsidP="007E5BF0">
      <w:r w:rsidRPr="54FDEEE5">
        <w:rPr>
          <w:rStyle w:val="Heading6Char"/>
        </w:rPr>
        <w:t>Describe the State Program addressed by the Method of Distribution:</w:t>
      </w:r>
      <w:r>
        <w:t xml:space="preserve"> Within the Priority Need to Revitalize Local Economies, CDBG funds are utilized to make loans or grants to businesses for various acquisition, construction, installation, or rehabilitation activities that support economic development (e.g., facilities improvements, equipment purchases, and employee trainings)</w:t>
      </w:r>
      <w:r w:rsidR="362D16CF">
        <w:t>.</w:t>
      </w:r>
    </w:p>
    <w:p w14:paraId="33DEBDB4" w14:textId="77777777" w:rsidR="007E5BF0" w:rsidRDefault="007E5BF0" w:rsidP="007E5BF0"/>
    <w:p w14:paraId="03207AF6" w14:textId="4A60CAEC" w:rsidR="007E5BF0" w:rsidRDefault="007E5BF0" w:rsidP="007E5BF0">
      <w:r w:rsidRPr="54FDEEE5">
        <w:rPr>
          <w:rStyle w:val="Heading6Char"/>
        </w:rPr>
        <w:t>Describe all of the criteria that will be used to select applications and the relative importance of these criteria:</w:t>
      </w:r>
      <w:r>
        <w:t xml:space="preserve"> CDBG Economic Development funds are only available for non-entitlement units of general local government and non-government entities such as local businesses via a competitive application process that ranks applicants on their ability to demonstrate that 51% or more of jobs created or retained are held by or will be filled by qualified LMI persons, document an areawide benefit, or show they will exclusively serve a specific, limited clientele.</w:t>
      </w:r>
      <w:r w:rsidR="00B03461">
        <w:t xml:space="preserve"> </w:t>
      </w:r>
      <w:r>
        <w:t xml:space="preserve">Commerce will provide further guidance in its application guidelines. </w:t>
      </w:r>
    </w:p>
    <w:p w14:paraId="1019EE4F" w14:textId="77777777" w:rsidR="007E5BF0" w:rsidRDefault="007E5BF0" w:rsidP="007E5BF0"/>
    <w:p w14:paraId="4DD8165B" w14:textId="47C0E979" w:rsidR="007E5BF0" w:rsidRDefault="007E5BF0" w:rsidP="007E5BF0">
      <w:r w:rsidRPr="00EA27D1">
        <w:rPr>
          <w:rStyle w:val="Heading6Char"/>
        </w:rPr>
        <w:t>If only summary criteria were described, how can potential applicants access application manuals or other state publications describing the application criteria? (CDBG only):</w:t>
      </w:r>
      <w:r>
        <w:t xml:space="preserve"> CDBG grant program applications, </w:t>
      </w:r>
      <w:r>
        <w:lastRenderedPageBreak/>
        <w:t xml:space="preserve">grant application guidelines, project grant administration manual, and other relevant information and resources are available on Commerce’s website at </w:t>
      </w:r>
      <w:hyperlink r:id="rId28" w:history="1">
        <w:r w:rsidR="00B35DF1">
          <w:rPr>
            <w:rStyle w:val="Hyperlink"/>
            <w:rFonts w:eastAsia="Times New Roman"/>
          </w:rPr>
          <w:t>https://comdev.mt.gov/Programs-and-Boards/Community-Development-Block-Grant-Program/Economic-Development</w:t>
        </w:r>
      </w:hyperlink>
      <w:r w:rsidR="00B35DF1">
        <w:rPr>
          <w:rFonts w:eastAsia="Times New Roman"/>
        </w:rPr>
        <w:t>.</w:t>
      </w:r>
    </w:p>
    <w:p w14:paraId="75DE80BD" w14:textId="77777777" w:rsidR="007E5BF0" w:rsidRDefault="007E5BF0" w:rsidP="007E5BF0"/>
    <w:p w14:paraId="73FDD123" w14:textId="21AED132" w:rsidR="007E5BF0" w:rsidRDefault="1664CBFB" w:rsidP="007E5BF0">
      <w:r w:rsidRPr="6EE14823">
        <w:rPr>
          <w:rStyle w:val="Heading6Char"/>
        </w:rPr>
        <w:t>Describe how resources will be allocated among funding categories:</w:t>
      </w:r>
      <w:r>
        <w:t xml:space="preserve"> For Plan Year </w:t>
      </w:r>
      <w:r w:rsidR="005D3B7A">
        <w:t>5</w:t>
      </w:r>
      <w:r>
        <w:t xml:space="preserve">, Montana will allocate </w:t>
      </w:r>
      <w:r w:rsidR="00D33ED0">
        <w:t xml:space="preserve">$1,050,000 </w:t>
      </w:r>
      <w:r>
        <w:t>in CDBG funds to Economic Development activities. The Economic Development allocation amount is based on beneficiary data of the project area, the feasibility and need for the activity, and the availability of other federal or state resources for the activity</w:t>
      </w:r>
      <w:r w:rsidR="178A2E58">
        <w:t>.</w:t>
      </w:r>
    </w:p>
    <w:p w14:paraId="6B4D1CEE" w14:textId="77777777" w:rsidR="007E5BF0" w:rsidRDefault="007E5BF0" w:rsidP="007E5BF0"/>
    <w:p w14:paraId="085BC1FD" w14:textId="2711692C" w:rsidR="007E5BF0" w:rsidRDefault="007E5BF0" w:rsidP="007E5BF0">
      <w:r w:rsidRPr="000C0D3F">
        <w:rPr>
          <w:rStyle w:val="Heading6Char"/>
        </w:rPr>
        <w:t>Describe threshold factors and grant size limits.</w:t>
      </w:r>
      <w:r>
        <w:t xml:space="preserve"> Each project funded must meet the CDBG National </w:t>
      </w:r>
      <w:r w:rsidRPr="00E354DA">
        <w:t xml:space="preserve">Objective of benefitting persons of LMI or reducing, eliminating, or preventing slums and blight. </w:t>
      </w:r>
      <w:r w:rsidR="0043779C">
        <w:t>The maximum amount of CDBG funds to be awarded per project is detailed in the published CDBG Economic Development Application Guidelines</w:t>
      </w:r>
      <w:r>
        <w:t>.</w:t>
      </w:r>
    </w:p>
    <w:p w14:paraId="432DAD33" w14:textId="77777777" w:rsidR="007E5BF0" w:rsidRDefault="007E5BF0" w:rsidP="007E5BF0"/>
    <w:p w14:paraId="4A5A5066" w14:textId="6714BE87" w:rsidR="007E5BF0" w:rsidRDefault="007E5BF0" w:rsidP="007E5BF0">
      <w:r w:rsidRPr="54FDEEE5">
        <w:rPr>
          <w:rStyle w:val="Heading6Char"/>
        </w:rPr>
        <w:t>Anticipated Outcome Measure:</w:t>
      </w:r>
      <w:r>
        <w:t xml:space="preserve"> </w:t>
      </w:r>
      <w:r w:rsidR="47C45F68">
        <w:t xml:space="preserve">30 </w:t>
      </w:r>
      <w:r>
        <w:t xml:space="preserve">jobs will be created or retained, and </w:t>
      </w:r>
      <w:r w:rsidR="046608FE">
        <w:t>2</w:t>
      </w:r>
      <w:r>
        <w:t xml:space="preserve"> businesses assisted.</w:t>
      </w:r>
    </w:p>
    <w:p w14:paraId="05CB2EDA" w14:textId="77777777" w:rsidR="007E5BF0" w:rsidRDefault="007E5BF0" w:rsidP="007E5BF0">
      <w:pPr>
        <w:pBdr>
          <w:bottom w:val="single" w:sz="4" w:space="1" w:color="auto"/>
        </w:pBdr>
      </w:pPr>
    </w:p>
    <w:p w14:paraId="5ED113D8" w14:textId="77777777" w:rsidR="007E5BF0" w:rsidRDefault="007E5BF0" w:rsidP="007E5BF0"/>
    <w:p w14:paraId="15F33D95" w14:textId="4EC9A105" w:rsidR="007E5BF0" w:rsidRPr="008C1242" w:rsidRDefault="007E5BF0" w:rsidP="007E5BF0">
      <w:pPr>
        <w:pStyle w:val="Heading4"/>
        <w:rPr>
          <w:u w:val="none"/>
        </w:rPr>
      </w:pPr>
      <w:r w:rsidRPr="008C1242">
        <w:rPr>
          <w:i/>
          <w:iCs w:val="0"/>
          <w:u w:val="none"/>
        </w:rPr>
        <w:t>State Program Name:</w:t>
      </w:r>
      <w:r w:rsidRPr="008C1242">
        <w:rPr>
          <w:u w:val="none"/>
        </w:rPr>
        <w:t xml:space="preserve"> </w:t>
      </w:r>
      <w:r w:rsidRPr="008C1242">
        <w:rPr>
          <w:b/>
          <w:bCs/>
          <w:color w:val="auto"/>
          <w:u w:val="none"/>
        </w:rPr>
        <w:t>CDBG Planning</w:t>
      </w:r>
    </w:p>
    <w:p w14:paraId="2F8E3720" w14:textId="77777777" w:rsidR="007E5BF0" w:rsidRPr="00B07676" w:rsidRDefault="007E5BF0" w:rsidP="007E5BF0">
      <w:r w:rsidRPr="00B07676">
        <w:rPr>
          <w:rStyle w:val="Heading6Char"/>
        </w:rPr>
        <w:t>Funding Sources:</w:t>
      </w:r>
      <w:r>
        <w:t xml:space="preserve"> CDBG</w:t>
      </w:r>
    </w:p>
    <w:p w14:paraId="7DE590BA" w14:textId="77777777" w:rsidR="007E5BF0" w:rsidRDefault="007E5BF0" w:rsidP="007E5BF0"/>
    <w:p w14:paraId="6AEE220F" w14:textId="77777777" w:rsidR="007E5BF0" w:rsidRDefault="007E5BF0" w:rsidP="007E5BF0">
      <w:r w:rsidRPr="006C28D1">
        <w:rPr>
          <w:rStyle w:val="Heading6Char"/>
        </w:rPr>
        <w:t>Describe the State Program addressed by the Method of Distribution:</w:t>
      </w:r>
      <w:r>
        <w:t xml:space="preserve"> Within the Priority Need to Plan for Communities, CDBG funds are utilized to engage in comprehensive planning, downtown master planning, business development planning, market study development, preliminary architectural report development, asset management, needs analysis, preliminary engineering, and other studies or plans that support resilient communities through affordable housing, public works investments, vital employment centers, and the environment.</w:t>
      </w:r>
    </w:p>
    <w:p w14:paraId="4C9D8845" w14:textId="77777777" w:rsidR="007E5BF0" w:rsidRDefault="007E5BF0" w:rsidP="007E5BF0"/>
    <w:p w14:paraId="52818B6B" w14:textId="443F740D" w:rsidR="007E5BF0" w:rsidRDefault="1664CBFB" w:rsidP="007E5BF0">
      <w:r w:rsidRPr="6EE14823">
        <w:rPr>
          <w:rStyle w:val="Heading6Char"/>
        </w:rPr>
        <w:t>Describe all of the criteria that will be used to select applications and the relative importance of these criteria:</w:t>
      </w:r>
      <w:r>
        <w:t xml:space="preserve"> CDBG Planning applications are only available for non-entitlement units of general local government via a competitive process in which applications are accepted on an ongoing basis and reviewed and ranked according to the extent to which they align with CDBG National Objectives and address Montana’s Priority Needs as set forth in this Consolidated Plan. CDBG Planning applications that seek to complete activities in a designated Opportunity Zone may </w:t>
      </w:r>
      <w:r w:rsidR="1B1FF2E9">
        <w:t>receive</w:t>
      </w:r>
      <w:r>
        <w:t xml:space="preserve"> preference and/or have greater flexibility in submission of technical documents as part of an application.</w:t>
      </w:r>
    </w:p>
    <w:p w14:paraId="4ECE653B" w14:textId="77777777" w:rsidR="007E5BF0" w:rsidRDefault="007E5BF0" w:rsidP="007E5BF0"/>
    <w:p w14:paraId="5F0E6EB6" w14:textId="462EC068" w:rsidR="007E5BF0" w:rsidRDefault="007E5BF0" w:rsidP="007E5BF0">
      <w:r w:rsidRPr="00EB54B5">
        <w:rPr>
          <w:rStyle w:val="Heading6Char"/>
        </w:rPr>
        <w:t>If only summary criteria were described, how can potential applicants access application manuals or other state publications describing the application criteria? (CDBG only):</w:t>
      </w:r>
      <w:r>
        <w:t xml:space="preserve"> CDBG grant program applications, grant application guidelines, planning grant administration manual, and other relevant information and resources are available on Commerce’s website at </w:t>
      </w:r>
      <w:hyperlink r:id="rId29" w:history="1">
        <w:r w:rsidR="00B35DF1">
          <w:rPr>
            <w:rStyle w:val="Hyperlink"/>
            <w:rFonts w:eastAsia="Times New Roman"/>
          </w:rPr>
          <w:t>https://comdev.mt.gov/Programs-and-Boards/Community-Development-Block-Grant-Program/Planning-Activities</w:t>
        </w:r>
      </w:hyperlink>
      <w:r w:rsidR="00B35DF1">
        <w:rPr>
          <w:rFonts w:eastAsia="Times New Roman"/>
        </w:rPr>
        <w:t xml:space="preserve">. </w:t>
      </w:r>
    </w:p>
    <w:p w14:paraId="47BA13A2" w14:textId="77777777" w:rsidR="007E5BF0" w:rsidRDefault="007E5BF0" w:rsidP="007E5BF0"/>
    <w:p w14:paraId="48900DAF" w14:textId="4E9A14CD" w:rsidR="007E5BF0" w:rsidRDefault="1664CBFB" w:rsidP="007E5BF0">
      <w:r w:rsidRPr="6EE14823">
        <w:rPr>
          <w:rStyle w:val="Heading6Char"/>
        </w:rPr>
        <w:t>Describe how resources will be allocated among funding categories:</w:t>
      </w:r>
      <w:r>
        <w:t xml:space="preserve"> For Plan Year </w:t>
      </w:r>
      <w:r w:rsidR="005D3B7A">
        <w:t>5</w:t>
      </w:r>
      <w:r>
        <w:t>, Montana will allocate</w:t>
      </w:r>
      <w:r w:rsidR="007C55D1">
        <w:t xml:space="preserve"> $600,000</w:t>
      </w:r>
      <w:r>
        <w:t xml:space="preserve"> in CDBG funds to Planning activities. The Planning allocation amount is based on beneficiary data of the project area, the feasibility and need for the activity, and the availability of other federal or state resources for the activity. </w:t>
      </w:r>
    </w:p>
    <w:p w14:paraId="5969D8A0" w14:textId="77777777" w:rsidR="007E5BF0" w:rsidRDefault="007E5BF0" w:rsidP="007E5BF0"/>
    <w:p w14:paraId="4CA85B19" w14:textId="77777777" w:rsidR="007E5BF0" w:rsidRDefault="007E5BF0" w:rsidP="007E5BF0">
      <w:r w:rsidRPr="00EB54B5">
        <w:rPr>
          <w:rStyle w:val="Heading6Char"/>
        </w:rPr>
        <w:lastRenderedPageBreak/>
        <w:t>Describe threshold factors and grant size limits.</w:t>
      </w:r>
      <w:r>
        <w:t xml:space="preserve"> Each project funded must meet the CDBG National Objectives of benefitting persons of LMI or reducing, eliminating, or preventing slums and blight. Up to </w:t>
      </w:r>
      <w:r w:rsidRPr="00E354DA">
        <w:t>$50,000 in</w:t>
      </w:r>
      <w:r>
        <w:t xml:space="preserve"> CDBG funds may be awarded per project for project activities. </w:t>
      </w:r>
    </w:p>
    <w:p w14:paraId="71BBBA47" w14:textId="77777777" w:rsidR="007E5BF0" w:rsidRDefault="007E5BF0" w:rsidP="007E5BF0"/>
    <w:p w14:paraId="49E61AB9" w14:textId="052F8DC4" w:rsidR="007E5BF0" w:rsidRDefault="1664CBFB" w:rsidP="007E5BF0">
      <w:r w:rsidRPr="6EE14823">
        <w:rPr>
          <w:rStyle w:val="Heading6Char"/>
        </w:rPr>
        <w:t>Anticipated Outcome Measure:</w:t>
      </w:r>
      <w:r>
        <w:t xml:space="preserve"> Assistance will be provided to</w:t>
      </w:r>
      <w:r w:rsidR="0023706D">
        <w:t xml:space="preserve"> </w:t>
      </w:r>
      <w:r w:rsidR="0054649D">
        <w:t xml:space="preserve">at least </w:t>
      </w:r>
      <w:r w:rsidR="0023706D">
        <w:t>20</w:t>
      </w:r>
      <w:r>
        <w:t xml:space="preserve"> local governments.</w:t>
      </w:r>
    </w:p>
    <w:p w14:paraId="1B9BF876" w14:textId="77777777" w:rsidR="007E5BF0" w:rsidRDefault="007E5BF0" w:rsidP="007E5BF0">
      <w:pPr>
        <w:pBdr>
          <w:bottom w:val="single" w:sz="4" w:space="1" w:color="auto"/>
        </w:pBdr>
      </w:pPr>
    </w:p>
    <w:p w14:paraId="2A6822F4" w14:textId="77777777" w:rsidR="007E5BF0" w:rsidRPr="009C4387" w:rsidRDefault="007E5BF0" w:rsidP="007E5BF0"/>
    <w:p w14:paraId="7811C287" w14:textId="77777777" w:rsidR="007E5BF0" w:rsidRPr="008C1242" w:rsidRDefault="15D4CFDC" w:rsidP="007E5BF0">
      <w:pPr>
        <w:pStyle w:val="Heading4"/>
        <w:rPr>
          <w:u w:val="none"/>
        </w:rPr>
      </w:pPr>
      <w:r w:rsidRPr="2B242364">
        <w:rPr>
          <w:i/>
          <w:u w:val="none"/>
        </w:rPr>
        <w:t>State Program Name:</w:t>
      </w:r>
      <w:r>
        <w:rPr>
          <w:u w:val="none"/>
        </w:rPr>
        <w:t xml:space="preserve"> </w:t>
      </w:r>
      <w:r w:rsidRPr="2B242364">
        <w:rPr>
          <w:b/>
          <w:bCs/>
          <w:color w:val="auto"/>
          <w:u w:val="none"/>
        </w:rPr>
        <w:t>HOME Homebuyer Assistance Program</w:t>
      </w:r>
    </w:p>
    <w:p w14:paraId="5C60B7B7" w14:textId="77777777" w:rsidR="007E5BF0" w:rsidRPr="00155772" w:rsidRDefault="007E5BF0" w:rsidP="007E5BF0">
      <w:r w:rsidRPr="00155772">
        <w:rPr>
          <w:rStyle w:val="Heading6Char"/>
        </w:rPr>
        <w:t>Funding Sources:</w:t>
      </w:r>
      <w:r>
        <w:t xml:space="preserve"> HOME</w:t>
      </w:r>
    </w:p>
    <w:p w14:paraId="0574DF4B" w14:textId="77777777" w:rsidR="007E5BF0" w:rsidRDefault="007E5BF0" w:rsidP="007E5BF0"/>
    <w:p w14:paraId="6FA704BA" w14:textId="3E9125D7" w:rsidR="007E5BF0" w:rsidRDefault="2FB2CDCF" w:rsidP="007E5BF0">
      <w:r w:rsidRPr="331F13D3">
        <w:rPr>
          <w:rStyle w:val="Heading6Char"/>
        </w:rPr>
        <w:t>Describe the State Program addressed by the Method of Distribution:</w:t>
      </w:r>
      <w:r>
        <w:t xml:space="preserve"> Within the Priority Need to Preserve and Construct Affordable Housing, HOME funds will be awarded to eligible applicants (nonprofit organizations, CHDOs, and local governments) that may apply for funding individually or with housing partners to provide down payment and closing cost assistance within the maximum amounts established annually by HUD to income-eligible homebuyers to help them purchase a home. All eligible applicants will be required to identify how HOME funds will meet the goals and objectives of the 2020-2024 Consolidated Plan and local planning efforts. Assisted homebuyers must complete homebuyer education and </w:t>
      </w:r>
      <w:proofErr w:type="gramStart"/>
      <w:r>
        <w:t>counseling,</w:t>
      </w:r>
      <w:r w:rsidR="3548F426">
        <w:t xml:space="preserve"> </w:t>
      </w:r>
      <w:r w:rsidR="78F1EB29">
        <w:t>and</w:t>
      </w:r>
      <w:proofErr w:type="gramEnd"/>
      <w:r w:rsidR="78F1EB29">
        <w:t xml:space="preserve"> </w:t>
      </w:r>
      <w:r w:rsidR="3548F426">
        <w:t>secure a first mortgage that me</w:t>
      </w:r>
      <w:r w:rsidR="3C3C7DBB">
        <w:t>e</w:t>
      </w:r>
      <w:r w:rsidR="3548F426">
        <w:t>ts responsible lending criteria</w:t>
      </w:r>
      <w:r w:rsidR="0668DEB6">
        <w:t xml:space="preserve">.  The home to be purchased </w:t>
      </w:r>
      <w:r>
        <w:t xml:space="preserve">must meet </w:t>
      </w:r>
      <w:r w:rsidR="158691C6">
        <w:t>applicable property standards (</w:t>
      </w:r>
      <w:r w:rsidR="566D5900">
        <w:t>Universal P</w:t>
      </w:r>
      <w:r w:rsidR="23F29209">
        <w:t xml:space="preserve">hysical </w:t>
      </w:r>
      <w:r w:rsidR="566D5900">
        <w:t>Condition Standards (</w:t>
      </w:r>
      <w:r>
        <w:t>UPCS</w:t>
      </w:r>
      <w:r w:rsidR="010D8345">
        <w:t>)</w:t>
      </w:r>
      <w:r w:rsidR="217D4FA1">
        <w:t xml:space="preserve"> or </w:t>
      </w:r>
      <w:r w:rsidR="5091193D">
        <w:t>National Standards for the Physical Inspection of Real Estate</w:t>
      </w:r>
      <w:r w:rsidR="18BACE57">
        <w:t xml:space="preserve"> (</w:t>
      </w:r>
      <w:r w:rsidR="445C1D7B">
        <w:t>NSPIRE</w:t>
      </w:r>
      <w:r w:rsidR="5CBD4C3F">
        <w:t>)</w:t>
      </w:r>
      <w:r w:rsidR="445C1D7B">
        <w:t>)</w:t>
      </w:r>
      <w:r>
        <w:t xml:space="preserve">. The purchase price for the property cannot exceed </w:t>
      </w:r>
      <w:r w:rsidR="6EC3BE7C">
        <w:t xml:space="preserve">the </w:t>
      </w:r>
      <w:r>
        <w:t>purchase-price limits</w:t>
      </w:r>
      <w:r w:rsidR="0023706D">
        <w:t xml:space="preserve"> </w:t>
      </w:r>
      <w:r>
        <w:t xml:space="preserve">established </w:t>
      </w:r>
      <w:r w:rsidR="6A53DC2A">
        <w:t>and publi</w:t>
      </w:r>
      <w:r w:rsidR="1799D191">
        <w:t>s</w:t>
      </w:r>
      <w:r w:rsidR="6A53DC2A">
        <w:t xml:space="preserve">hed </w:t>
      </w:r>
      <w:r>
        <w:t>annually</w:t>
      </w:r>
      <w:r w:rsidR="18997911">
        <w:t xml:space="preserve"> by HUD</w:t>
      </w:r>
      <w:r>
        <w:t xml:space="preserve">. Recapture and Resale provisions are enforced through deed restrictions placed on the HOME-assisted homes for the applicable period of affordability. </w:t>
      </w:r>
    </w:p>
    <w:p w14:paraId="756D5485" w14:textId="77777777" w:rsidR="007E5BF0" w:rsidRDefault="007E5BF0" w:rsidP="007E5BF0"/>
    <w:p w14:paraId="7E506361" w14:textId="0E22B678" w:rsidR="007E5BF0" w:rsidRDefault="4BA3547F" w:rsidP="007E5BF0">
      <w:r w:rsidRPr="009C4387">
        <w:rPr>
          <w:rStyle w:val="Heading6Char"/>
        </w:rPr>
        <w:t xml:space="preserve">Describe </w:t>
      </w:r>
      <w:proofErr w:type="gramStart"/>
      <w:r w:rsidRPr="009C4387">
        <w:rPr>
          <w:rStyle w:val="Heading6Char"/>
        </w:rPr>
        <w:t>all of</w:t>
      </w:r>
      <w:proofErr w:type="gramEnd"/>
      <w:r w:rsidRPr="009C4387">
        <w:rPr>
          <w:rStyle w:val="Heading6Char"/>
        </w:rPr>
        <w:t xml:space="preserve"> the criteria that will be used to select applications and the relative importance of these criteria:</w:t>
      </w:r>
      <w:r>
        <w:t xml:space="preserve"> Those applicants that can demonstrate capacity to comply with the HOME regulations and requirements for homebuyer down payment and closing cost assistance are eligible for HOME funds. HOME Program applications, grant application guidelines, the project grant administration manual, and other relevant information and resources are available on the Commerce website at </w:t>
      </w:r>
      <w:bookmarkStart w:id="63" w:name="_Hlk73112399"/>
      <w:r w:rsidR="006901EE">
        <w:rPr>
          <w:color w:val="2B579A"/>
          <w:shd w:val="clear" w:color="auto" w:fill="E6E6E6"/>
        </w:rPr>
        <w:fldChar w:fldCharType="begin"/>
      </w:r>
      <w:r w:rsidR="006901EE">
        <w:instrText xml:space="preserve"> HYPERLINK "</w:instrText>
      </w:r>
      <w:r w:rsidR="006901EE" w:rsidRPr="006901EE">
        <w:instrText>https://housing.mt.gov/Multifamily-Development/HOME-Program</w:instrText>
      </w:r>
      <w:r w:rsidR="006901EE">
        <w:instrText xml:space="preserve">" </w:instrText>
      </w:r>
      <w:r w:rsidR="006901EE">
        <w:rPr>
          <w:color w:val="2B579A"/>
          <w:shd w:val="clear" w:color="auto" w:fill="E6E6E6"/>
        </w:rPr>
      </w:r>
      <w:r w:rsidR="006901EE">
        <w:rPr>
          <w:color w:val="2B579A"/>
          <w:shd w:val="clear" w:color="auto" w:fill="E6E6E6"/>
        </w:rPr>
        <w:fldChar w:fldCharType="separate"/>
      </w:r>
      <w:r w:rsidR="059BC3B0" w:rsidRPr="00763DF2">
        <w:rPr>
          <w:rStyle w:val="Hyperlink"/>
        </w:rPr>
        <w:t>https://housing.mt.gov/Multifamily-Development/HOME-Program</w:t>
      </w:r>
      <w:r w:rsidR="006901EE">
        <w:rPr>
          <w:color w:val="2B579A"/>
          <w:shd w:val="clear" w:color="auto" w:fill="E6E6E6"/>
        </w:rPr>
        <w:fldChar w:fldCharType="end"/>
      </w:r>
      <w:bookmarkEnd w:id="63"/>
      <w:r>
        <w:t>.</w:t>
      </w:r>
    </w:p>
    <w:p w14:paraId="6D01842F" w14:textId="77777777" w:rsidR="007E5BF0" w:rsidRDefault="007E5BF0" w:rsidP="007E5BF0"/>
    <w:p w14:paraId="6E38FA54" w14:textId="4C4A7583" w:rsidR="007E5BF0" w:rsidRDefault="2A735DB9" w:rsidP="007E5BF0">
      <w:r w:rsidRPr="0C383F3B">
        <w:rPr>
          <w:rStyle w:val="Heading6Char"/>
        </w:rPr>
        <w:t>Describe how resources will be allocated among funding categories:</w:t>
      </w:r>
      <w:r>
        <w:t xml:space="preserve"> For </w:t>
      </w:r>
      <w:r w:rsidR="44A7EB16">
        <w:t xml:space="preserve">Plan Year </w:t>
      </w:r>
      <w:r w:rsidR="0258D794">
        <w:t>5</w:t>
      </w:r>
      <w:r>
        <w:t xml:space="preserve">, the State of Montana will allocate </w:t>
      </w:r>
      <w:r w:rsidR="15019AE0">
        <w:t xml:space="preserve">$200,000 in </w:t>
      </w:r>
      <w:r>
        <w:t xml:space="preserve">HOME resources to HOME Homebuyer Assistance Program activities. </w:t>
      </w:r>
      <w:r w:rsidR="0DC11D7E">
        <w:t>In addition</w:t>
      </w:r>
      <w:r w:rsidR="5638FDEC">
        <w:t xml:space="preserve">, the State of Montana anticipates </w:t>
      </w:r>
      <w:r w:rsidR="5CB40E4C">
        <w:t>grantee</w:t>
      </w:r>
      <w:r w:rsidR="207C232E">
        <w:t>s</w:t>
      </w:r>
      <w:r w:rsidR="5CB40E4C">
        <w:t xml:space="preserve"> will </w:t>
      </w:r>
      <w:r w:rsidR="5638FDEC">
        <w:t>receiv</w:t>
      </w:r>
      <w:r w:rsidR="5CB40E4C">
        <w:t>e</w:t>
      </w:r>
      <w:r w:rsidR="5638FDEC">
        <w:t xml:space="preserve"> </w:t>
      </w:r>
      <w:r w:rsidR="1664CBFB">
        <w:t xml:space="preserve">$500,000 </w:t>
      </w:r>
      <w:r w:rsidR="5638FDEC">
        <w:t xml:space="preserve">in program income for Plan Year </w:t>
      </w:r>
      <w:r w:rsidR="0258D794">
        <w:t>5</w:t>
      </w:r>
      <w:r w:rsidR="5638FDEC">
        <w:t xml:space="preserve">; program income received </w:t>
      </w:r>
      <w:r w:rsidR="207C232E">
        <w:t xml:space="preserve">is typically </w:t>
      </w:r>
      <w:r w:rsidR="5638FDEC">
        <w:t xml:space="preserve">allocated to HOME Homebuyer Assistance Program activities. </w:t>
      </w:r>
      <w:r w:rsidR="207C232E">
        <w:t>With prior approval from Commerce, some program income may be invested in housing development.</w:t>
      </w:r>
      <w:r w:rsidR="5638FDEC">
        <w:t xml:space="preserve"> </w:t>
      </w:r>
      <w:r>
        <w:t xml:space="preserve">The HOME Homebuyer Assistance Program allocation amount is based on beneficiary data of the project area, the feasibility and need for the activity, and the availability of other federal or state resources for the activity. </w:t>
      </w:r>
    </w:p>
    <w:p w14:paraId="1AE86114" w14:textId="77777777" w:rsidR="007E5BF0" w:rsidRDefault="007E5BF0" w:rsidP="007E5BF0"/>
    <w:p w14:paraId="5FE0F9C8" w14:textId="5F8AEDE4" w:rsidR="007E5BF0" w:rsidRDefault="4BA3547F" w:rsidP="007E5BF0">
      <w:r w:rsidRPr="4676B94E">
        <w:rPr>
          <w:rStyle w:val="Heading6Char"/>
        </w:rPr>
        <w:t>Describe threshold factors and grant size limits.</w:t>
      </w:r>
      <w:r>
        <w:t xml:space="preserve"> All funded HOME Homebuyer Assistance Program activities must meet HOME requirements. HOME funds may be provided in an amount up to 30% of the purchase price limit (as presented in </w:t>
      </w:r>
      <w:r w:rsidRPr="4676B94E">
        <w:rPr>
          <w:b/>
          <w:bCs/>
        </w:rPr>
        <w:t>Table AP-3</w:t>
      </w:r>
      <w:r>
        <w:t xml:space="preserve">) per homeowner for down payment and closing cost assistance as a 0% interest, deferred loan. HOME funds may be provided in an amount up to 40% of the purchase price limit per homeowner for down payment and closing cost assistance as a 0% interest, deferred loan to individuals with a disability or individuals who are enrolled members in a state-recognized Native American tribe. The purchase price for the property cannot exceed </w:t>
      </w:r>
      <w:r w:rsidR="76926991">
        <w:t xml:space="preserve">the </w:t>
      </w:r>
      <w:r>
        <w:t>purchase price limits</w:t>
      </w:r>
      <w:r w:rsidR="76926991">
        <w:t xml:space="preserve"> </w:t>
      </w:r>
      <w:r w:rsidR="234E092B">
        <w:t xml:space="preserve">published by HUD and </w:t>
      </w:r>
      <w:r w:rsidR="76926991">
        <w:t xml:space="preserve">presented in </w:t>
      </w:r>
      <w:r w:rsidR="76926991" w:rsidRPr="4676B94E">
        <w:rPr>
          <w:b/>
          <w:bCs/>
        </w:rPr>
        <w:t>Table AP-3</w:t>
      </w:r>
      <w:r>
        <w:t xml:space="preserve"> below. Resale or recapture provisions must be </w:t>
      </w:r>
      <w:r>
        <w:lastRenderedPageBreak/>
        <w:t xml:space="preserve">placed on the HOME-assisted home for the applicable period of affordability, and projects must follow all applicable HOME regulations and guidelines for homebuyer assistance. </w:t>
      </w:r>
    </w:p>
    <w:p w14:paraId="54DB4C5D" w14:textId="77777777" w:rsidR="007E5BF0" w:rsidRDefault="007E5BF0" w:rsidP="007E5BF0"/>
    <w:p w14:paraId="7C0D7C66" w14:textId="1D8FF651" w:rsidR="007E5BF0" w:rsidRDefault="4B33BE74" w:rsidP="007E5BF0">
      <w:pPr>
        <w:pStyle w:val="TableCaption"/>
      </w:pPr>
      <w:bookmarkStart w:id="64" w:name="_Toc70505199"/>
      <w:bookmarkStart w:id="65" w:name="_Toc73081447"/>
      <w:r>
        <w:t>Table AP-3 – 202</w:t>
      </w:r>
      <w:r w:rsidR="6FB02A34">
        <w:t>2</w:t>
      </w:r>
      <w:r>
        <w:t xml:space="preserve"> </w:t>
      </w:r>
      <w:r w:rsidR="44281C44">
        <w:t>and 202</w:t>
      </w:r>
      <w:r w:rsidR="6FB02A34">
        <w:t>3</w:t>
      </w:r>
      <w:r w:rsidR="44281C44">
        <w:t xml:space="preserve"> </w:t>
      </w:r>
      <w:r>
        <w:t>HOME Purchase Price Limits</w:t>
      </w:r>
      <w:bookmarkEnd w:id="64"/>
      <w:bookmarkEnd w:id="65"/>
    </w:p>
    <w:tbl>
      <w:tblPr>
        <w:tblStyle w:val="TableGrid"/>
        <w:tblW w:w="3228" w:type="pct"/>
        <w:jc w:val="center"/>
        <w:tblLook w:val="04A0" w:firstRow="1" w:lastRow="0" w:firstColumn="1" w:lastColumn="0" w:noHBand="0" w:noVBand="1"/>
        <w:tblCaption w:val="2020 and 2021 HOME Purchase Price Limits (Table AP-3)"/>
        <w:tblDescription w:val="This table shows the 2020 and 2021 purchase price limits under the HOME Program."/>
      </w:tblPr>
      <w:tblGrid>
        <w:gridCol w:w="2724"/>
        <w:gridCol w:w="1657"/>
        <w:gridCol w:w="1655"/>
      </w:tblGrid>
      <w:tr w:rsidR="00A74A71" w:rsidRPr="009C4387" w14:paraId="0AB43A48" w14:textId="6CB813ED" w:rsidTr="00A74A71">
        <w:trPr>
          <w:trHeight w:val="20"/>
          <w:tblHeader/>
          <w:jc w:val="center"/>
        </w:trPr>
        <w:tc>
          <w:tcPr>
            <w:tcW w:w="2256" w:type="pct"/>
            <w:shd w:val="clear" w:color="auto" w:fill="C5D4D5"/>
            <w:vAlign w:val="center"/>
          </w:tcPr>
          <w:p w14:paraId="2C6A557C" w14:textId="77777777" w:rsidR="00A74A71" w:rsidRPr="009C4387" w:rsidRDefault="00A74A71" w:rsidP="0044257C">
            <w:pPr>
              <w:rPr>
                <w:sz w:val="20"/>
                <w:szCs w:val="20"/>
              </w:rPr>
            </w:pPr>
            <w:r w:rsidRPr="009C4387">
              <w:rPr>
                <w:sz w:val="20"/>
                <w:szCs w:val="20"/>
              </w:rPr>
              <w:t>Metropolitan FMR Area Name</w:t>
            </w:r>
          </w:p>
        </w:tc>
        <w:tc>
          <w:tcPr>
            <w:tcW w:w="1373" w:type="pct"/>
            <w:shd w:val="clear" w:color="auto" w:fill="C5D4D5"/>
            <w:vAlign w:val="center"/>
          </w:tcPr>
          <w:p w14:paraId="06177694" w14:textId="3B5DA4B7" w:rsidR="00A74A71" w:rsidRDefault="00A74A71">
            <w:pPr>
              <w:jc w:val="center"/>
              <w:rPr>
                <w:sz w:val="20"/>
                <w:szCs w:val="20"/>
              </w:rPr>
            </w:pPr>
            <w:r w:rsidRPr="54FDEEE5">
              <w:rPr>
                <w:sz w:val="20"/>
                <w:szCs w:val="20"/>
              </w:rPr>
              <w:t>2023 Existing Single-Family Home</w:t>
            </w:r>
          </w:p>
        </w:tc>
        <w:tc>
          <w:tcPr>
            <w:tcW w:w="1372" w:type="pct"/>
            <w:shd w:val="clear" w:color="auto" w:fill="C5D4D5"/>
            <w:vAlign w:val="center"/>
          </w:tcPr>
          <w:p w14:paraId="6CE14DC7" w14:textId="5C0448C1" w:rsidR="00A74A71" w:rsidRDefault="00A74A71">
            <w:pPr>
              <w:jc w:val="center"/>
              <w:rPr>
                <w:sz w:val="20"/>
                <w:szCs w:val="20"/>
              </w:rPr>
            </w:pPr>
            <w:r w:rsidRPr="54FDEEE5">
              <w:rPr>
                <w:sz w:val="20"/>
                <w:szCs w:val="20"/>
              </w:rPr>
              <w:t>2023 Newly Constructed Single-Family Home</w:t>
            </w:r>
          </w:p>
        </w:tc>
      </w:tr>
      <w:tr w:rsidR="00A74A71" w:rsidRPr="0079218D" w14:paraId="595110E6" w14:textId="1A71ADAD" w:rsidTr="00A74A71">
        <w:trPr>
          <w:trHeight w:val="20"/>
          <w:jc w:val="center"/>
        </w:trPr>
        <w:tc>
          <w:tcPr>
            <w:tcW w:w="2256" w:type="pct"/>
            <w:shd w:val="clear" w:color="auto" w:fill="DDE6E7"/>
          </w:tcPr>
          <w:p w14:paraId="3F2C9E18" w14:textId="77777777" w:rsidR="00A74A71" w:rsidRPr="009C4387" w:rsidRDefault="00A74A71" w:rsidP="009906E8">
            <w:pPr>
              <w:rPr>
                <w:sz w:val="20"/>
                <w:szCs w:val="20"/>
              </w:rPr>
            </w:pPr>
            <w:r w:rsidRPr="009C4387">
              <w:rPr>
                <w:sz w:val="20"/>
                <w:szCs w:val="20"/>
              </w:rPr>
              <w:t>Carbon Co – Billings</w:t>
            </w:r>
          </w:p>
        </w:tc>
        <w:tc>
          <w:tcPr>
            <w:tcW w:w="1373" w:type="pct"/>
            <w:tcBorders>
              <w:top w:val="nil"/>
              <w:left w:val="nil"/>
              <w:bottom w:val="single" w:sz="4" w:space="0" w:color="auto"/>
              <w:right w:val="nil"/>
            </w:tcBorders>
            <w:shd w:val="clear" w:color="auto" w:fill="auto"/>
            <w:vAlign w:val="bottom"/>
          </w:tcPr>
          <w:p w14:paraId="469237A3" w14:textId="352452C8" w:rsidR="00A74A71" w:rsidRPr="0079218D" w:rsidRDefault="00A74A71" w:rsidP="009906E8">
            <w:pPr>
              <w:jc w:val="center"/>
              <w:rPr>
                <w:rFonts w:cstheme="minorHAnsi"/>
                <w:sz w:val="20"/>
                <w:szCs w:val="20"/>
              </w:rPr>
            </w:pPr>
            <w:r>
              <w:rPr>
                <w:rFonts w:cstheme="minorHAnsi"/>
                <w:sz w:val="20"/>
                <w:szCs w:val="20"/>
              </w:rPr>
              <w:t>$319,000</w:t>
            </w:r>
          </w:p>
        </w:tc>
        <w:tc>
          <w:tcPr>
            <w:tcW w:w="1372" w:type="pct"/>
            <w:tcBorders>
              <w:top w:val="nil"/>
              <w:left w:val="nil"/>
              <w:bottom w:val="single" w:sz="4" w:space="0" w:color="auto"/>
              <w:right w:val="single" w:sz="4" w:space="0" w:color="auto"/>
            </w:tcBorders>
            <w:shd w:val="clear" w:color="auto" w:fill="auto"/>
            <w:vAlign w:val="bottom"/>
          </w:tcPr>
          <w:p w14:paraId="16208C5C" w14:textId="0190BE1C" w:rsidR="00A74A71" w:rsidRPr="0079218D" w:rsidRDefault="00A74A71" w:rsidP="009906E8">
            <w:pPr>
              <w:jc w:val="center"/>
              <w:rPr>
                <w:rFonts w:cstheme="minorHAnsi"/>
                <w:sz w:val="20"/>
                <w:szCs w:val="20"/>
              </w:rPr>
            </w:pPr>
            <w:r>
              <w:rPr>
                <w:rFonts w:cstheme="minorHAnsi"/>
                <w:sz w:val="20"/>
                <w:szCs w:val="20"/>
              </w:rPr>
              <w:t>$361,000</w:t>
            </w:r>
          </w:p>
        </w:tc>
      </w:tr>
      <w:tr w:rsidR="00A74A71" w:rsidRPr="0079218D" w14:paraId="22BC51DB" w14:textId="79B555F9" w:rsidTr="00A74A71">
        <w:trPr>
          <w:trHeight w:val="20"/>
          <w:jc w:val="center"/>
        </w:trPr>
        <w:tc>
          <w:tcPr>
            <w:tcW w:w="2256" w:type="pct"/>
            <w:shd w:val="clear" w:color="auto" w:fill="DDE6E7"/>
          </w:tcPr>
          <w:p w14:paraId="16021E2D" w14:textId="77777777" w:rsidR="00A74A71" w:rsidRPr="009C4387" w:rsidRDefault="00A74A71" w:rsidP="009906E8">
            <w:pPr>
              <w:rPr>
                <w:sz w:val="20"/>
                <w:szCs w:val="20"/>
              </w:rPr>
            </w:pPr>
            <w:r w:rsidRPr="009C4387">
              <w:rPr>
                <w:sz w:val="20"/>
                <w:szCs w:val="20"/>
              </w:rPr>
              <w:t>Yellowstone Co – Billings</w:t>
            </w:r>
          </w:p>
        </w:tc>
        <w:tc>
          <w:tcPr>
            <w:tcW w:w="1373" w:type="pct"/>
            <w:tcBorders>
              <w:top w:val="nil"/>
              <w:left w:val="nil"/>
              <w:bottom w:val="single" w:sz="4" w:space="0" w:color="auto"/>
              <w:right w:val="nil"/>
            </w:tcBorders>
            <w:shd w:val="clear" w:color="auto" w:fill="auto"/>
            <w:vAlign w:val="bottom"/>
          </w:tcPr>
          <w:p w14:paraId="6638317C" w14:textId="3A7F83BA" w:rsidR="00A74A71" w:rsidRPr="0079218D" w:rsidRDefault="00A74A71" w:rsidP="009906E8">
            <w:pPr>
              <w:jc w:val="center"/>
              <w:rPr>
                <w:rFonts w:cstheme="minorHAnsi"/>
                <w:sz w:val="20"/>
                <w:szCs w:val="20"/>
              </w:rPr>
            </w:pPr>
            <w:r>
              <w:rPr>
                <w:rFonts w:cstheme="minorHAnsi"/>
                <w:sz w:val="20"/>
                <w:szCs w:val="20"/>
              </w:rPr>
              <w:t>$319,000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3CB02645" w14:textId="6BF0C362" w:rsidR="00A74A71" w:rsidRPr="0079218D" w:rsidRDefault="00A74A71" w:rsidP="009906E8">
            <w:pPr>
              <w:jc w:val="center"/>
              <w:rPr>
                <w:rFonts w:cstheme="minorHAnsi"/>
                <w:sz w:val="20"/>
                <w:szCs w:val="20"/>
              </w:rPr>
            </w:pPr>
            <w:r>
              <w:rPr>
                <w:rFonts w:cstheme="minorHAnsi"/>
                <w:sz w:val="20"/>
                <w:szCs w:val="20"/>
              </w:rPr>
              <w:t>$361,000</w:t>
            </w:r>
          </w:p>
        </w:tc>
      </w:tr>
      <w:tr w:rsidR="00A74A71" w:rsidRPr="0079218D" w14:paraId="14490A27" w14:textId="4CB905CC" w:rsidTr="00A74A71">
        <w:trPr>
          <w:trHeight w:val="20"/>
          <w:jc w:val="center"/>
        </w:trPr>
        <w:tc>
          <w:tcPr>
            <w:tcW w:w="2256" w:type="pct"/>
            <w:shd w:val="clear" w:color="auto" w:fill="DDE6E7"/>
          </w:tcPr>
          <w:p w14:paraId="2D9D084A" w14:textId="77777777" w:rsidR="00A74A71" w:rsidRPr="009C4387" w:rsidRDefault="00A74A71" w:rsidP="007F4CE5">
            <w:pPr>
              <w:rPr>
                <w:sz w:val="20"/>
                <w:szCs w:val="20"/>
              </w:rPr>
            </w:pPr>
            <w:r w:rsidRPr="009C4387">
              <w:rPr>
                <w:sz w:val="20"/>
                <w:szCs w:val="20"/>
              </w:rPr>
              <w:t>Golden Valley Co</w:t>
            </w:r>
          </w:p>
        </w:tc>
        <w:tc>
          <w:tcPr>
            <w:tcW w:w="1373" w:type="pct"/>
            <w:tcBorders>
              <w:top w:val="single" w:sz="4" w:space="0" w:color="auto"/>
              <w:left w:val="nil"/>
              <w:bottom w:val="single" w:sz="4" w:space="0" w:color="auto"/>
              <w:right w:val="nil"/>
            </w:tcBorders>
            <w:shd w:val="clear" w:color="auto" w:fill="auto"/>
            <w:vAlign w:val="bottom"/>
          </w:tcPr>
          <w:p w14:paraId="72E203F4" w14:textId="7F51B1CD"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7120500D" w14:textId="0E846D08"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1E721C0C" w14:textId="7FAC06F8" w:rsidTr="00A74A71">
        <w:trPr>
          <w:trHeight w:val="20"/>
          <w:jc w:val="center"/>
        </w:trPr>
        <w:tc>
          <w:tcPr>
            <w:tcW w:w="2256" w:type="pct"/>
            <w:shd w:val="clear" w:color="auto" w:fill="DDE6E7"/>
          </w:tcPr>
          <w:p w14:paraId="51172361" w14:textId="77777777" w:rsidR="00A74A71" w:rsidRPr="009C4387" w:rsidRDefault="00A74A71" w:rsidP="007F4CE5">
            <w:pPr>
              <w:rPr>
                <w:sz w:val="20"/>
                <w:szCs w:val="20"/>
              </w:rPr>
            </w:pPr>
            <w:r w:rsidRPr="009C4387">
              <w:rPr>
                <w:sz w:val="20"/>
                <w:szCs w:val="20"/>
              </w:rPr>
              <w:t>Cascade Co – Great Falls</w:t>
            </w:r>
          </w:p>
        </w:tc>
        <w:tc>
          <w:tcPr>
            <w:tcW w:w="1373" w:type="pct"/>
            <w:tcBorders>
              <w:top w:val="single" w:sz="4" w:space="0" w:color="auto"/>
              <w:left w:val="nil"/>
              <w:bottom w:val="single" w:sz="4" w:space="0" w:color="auto"/>
              <w:right w:val="nil"/>
            </w:tcBorders>
            <w:shd w:val="clear" w:color="auto" w:fill="auto"/>
            <w:vAlign w:val="bottom"/>
          </w:tcPr>
          <w:p w14:paraId="2359A54E" w14:textId="7C1F03CC" w:rsidR="00A74A71" w:rsidRPr="0079218D" w:rsidRDefault="00A74A71" w:rsidP="007F4CE5">
            <w:pPr>
              <w:jc w:val="center"/>
              <w:rPr>
                <w:rFonts w:cstheme="minorHAnsi"/>
                <w:sz w:val="20"/>
                <w:szCs w:val="20"/>
              </w:rPr>
            </w:pPr>
            <w:r>
              <w:rPr>
                <w:rFonts w:cstheme="minorHAnsi"/>
                <w:sz w:val="20"/>
                <w:szCs w:val="20"/>
              </w:rPr>
              <w:t>$247,000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059448DD" w14:textId="09578B13"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3C094C7A" w14:textId="24BC0800" w:rsidTr="00A74A71">
        <w:trPr>
          <w:trHeight w:val="20"/>
          <w:jc w:val="center"/>
        </w:trPr>
        <w:tc>
          <w:tcPr>
            <w:tcW w:w="2256" w:type="pct"/>
            <w:shd w:val="clear" w:color="auto" w:fill="DDE6E7"/>
          </w:tcPr>
          <w:p w14:paraId="1AAAB3DB" w14:textId="77777777" w:rsidR="00A74A71" w:rsidRPr="009C4387" w:rsidRDefault="00A74A71" w:rsidP="007F4CE5">
            <w:pPr>
              <w:rPr>
                <w:sz w:val="20"/>
                <w:szCs w:val="20"/>
              </w:rPr>
            </w:pPr>
            <w:r w:rsidRPr="009C4387">
              <w:rPr>
                <w:sz w:val="20"/>
                <w:szCs w:val="20"/>
              </w:rPr>
              <w:t>Missoula Co – Missoula</w:t>
            </w:r>
          </w:p>
        </w:tc>
        <w:tc>
          <w:tcPr>
            <w:tcW w:w="1373" w:type="pct"/>
            <w:tcBorders>
              <w:top w:val="single" w:sz="4" w:space="0" w:color="auto"/>
              <w:left w:val="nil"/>
              <w:bottom w:val="single" w:sz="4" w:space="0" w:color="auto"/>
              <w:right w:val="nil"/>
            </w:tcBorders>
            <w:shd w:val="clear" w:color="auto" w:fill="auto"/>
            <w:vAlign w:val="bottom"/>
          </w:tcPr>
          <w:p w14:paraId="20153CE5" w14:textId="4CE1B2E7" w:rsidR="00A74A71" w:rsidRPr="0079218D" w:rsidRDefault="00A74A71" w:rsidP="007F4CE5">
            <w:pPr>
              <w:jc w:val="center"/>
              <w:rPr>
                <w:rFonts w:cstheme="minorHAnsi"/>
                <w:sz w:val="20"/>
                <w:szCs w:val="20"/>
              </w:rPr>
            </w:pPr>
            <w:r>
              <w:rPr>
                <w:rFonts w:cstheme="minorHAnsi"/>
                <w:sz w:val="20"/>
                <w:szCs w:val="20"/>
              </w:rPr>
              <w:t>$445,000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5C8BA6F0" w14:textId="738E03FE" w:rsidR="00A74A71" w:rsidRPr="0079218D" w:rsidRDefault="00A74A71" w:rsidP="007F4CE5">
            <w:pPr>
              <w:jc w:val="center"/>
              <w:rPr>
                <w:rFonts w:cstheme="minorHAnsi"/>
                <w:sz w:val="20"/>
                <w:szCs w:val="20"/>
              </w:rPr>
            </w:pPr>
            <w:r>
              <w:rPr>
                <w:rFonts w:cstheme="minorHAnsi"/>
                <w:sz w:val="20"/>
                <w:szCs w:val="20"/>
              </w:rPr>
              <w:t>$445,000</w:t>
            </w:r>
          </w:p>
        </w:tc>
      </w:tr>
      <w:tr w:rsidR="00A74A71" w:rsidRPr="0079218D" w14:paraId="458496BC" w14:textId="74903534" w:rsidTr="00A74A71">
        <w:trPr>
          <w:trHeight w:val="20"/>
          <w:jc w:val="center"/>
        </w:trPr>
        <w:tc>
          <w:tcPr>
            <w:tcW w:w="2256" w:type="pct"/>
            <w:shd w:val="clear" w:color="auto" w:fill="DDE6E7"/>
          </w:tcPr>
          <w:p w14:paraId="4BC7B6E4" w14:textId="77777777" w:rsidR="00A74A71" w:rsidRPr="009C4387" w:rsidRDefault="00A74A71" w:rsidP="007F4CE5">
            <w:pPr>
              <w:rPr>
                <w:sz w:val="20"/>
                <w:szCs w:val="20"/>
              </w:rPr>
            </w:pPr>
            <w:r w:rsidRPr="009C4387">
              <w:rPr>
                <w:sz w:val="20"/>
                <w:szCs w:val="20"/>
              </w:rPr>
              <w:t>Beaverhead Co</w:t>
            </w:r>
          </w:p>
        </w:tc>
        <w:tc>
          <w:tcPr>
            <w:tcW w:w="1373" w:type="pct"/>
            <w:tcBorders>
              <w:top w:val="single" w:sz="4" w:space="0" w:color="auto"/>
              <w:left w:val="nil"/>
              <w:bottom w:val="single" w:sz="4" w:space="0" w:color="auto"/>
              <w:right w:val="nil"/>
            </w:tcBorders>
            <w:shd w:val="clear" w:color="auto" w:fill="auto"/>
            <w:vAlign w:val="bottom"/>
          </w:tcPr>
          <w:p w14:paraId="1C686CA4" w14:textId="6E98197D" w:rsidR="00A74A71" w:rsidRPr="0079218D" w:rsidRDefault="00A74A71" w:rsidP="007F4CE5">
            <w:pPr>
              <w:jc w:val="center"/>
              <w:rPr>
                <w:rFonts w:cstheme="minorHAnsi"/>
                <w:sz w:val="20"/>
                <w:szCs w:val="20"/>
              </w:rPr>
            </w:pPr>
            <w:r>
              <w:rPr>
                <w:rFonts w:cstheme="minorHAnsi"/>
                <w:sz w:val="20"/>
                <w:szCs w:val="20"/>
              </w:rPr>
              <w:t>$226,000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5B55FAEF" w14:textId="2A3C2C1F"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6990E83A" w14:textId="0C888429" w:rsidTr="00A74A71">
        <w:trPr>
          <w:trHeight w:val="20"/>
          <w:jc w:val="center"/>
        </w:trPr>
        <w:tc>
          <w:tcPr>
            <w:tcW w:w="2256" w:type="pct"/>
            <w:shd w:val="clear" w:color="auto" w:fill="DDE6E7"/>
          </w:tcPr>
          <w:p w14:paraId="0A977262" w14:textId="77777777" w:rsidR="00A74A71" w:rsidRPr="009C4387" w:rsidRDefault="00A74A71" w:rsidP="007F4CE5">
            <w:pPr>
              <w:rPr>
                <w:sz w:val="20"/>
                <w:szCs w:val="20"/>
              </w:rPr>
            </w:pPr>
            <w:r w:rsidRPr="009C4387">
              <w:rPr>
                <w:sz w:val="20"/>
                <w:szCs w:val="20"/>
              </w:rPr>
              <w:t>Big Horn Co</w:t>
            </w:r>
          </w:p>
        </w:tc>
        <w:tc>
          <w:tcPr>
            <w:tcW w:w="1373" w:type="pct"/>
            <w:tcBorders>
              <w:top w:val="single" w:sz="4" w:space="0" w:color="auto"/>
              <w:left w:val="nil"/>
              <w:bottom w:val="single" w:sz="4" w:space="0" w:color="auto"/>
              <w:right w:val="nil"/>
            </w:tcBorders>
            <w:shd w:val="clear" w:color="auto" w:fill="auto"/>
            <w:vAlign w:val="bottom"/>
          </w:tcPr>
          <w:p w14:paraId="7EADAA46" w14:textId="49C9F36D"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6C42CA7F" w14:textId="61757D0C"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29249A60" w14:textId="595F4D6A" w:rsidTr="00A74A71">
        <w:trPr>
          <w:trHeight w:val="20"/>
          <w:jc w:val="center"/>
        </w:trPr>
        <w:tc>
          <w:tcPr>
            <w:tcW w:w="2256" w:type="pct"/>
            <w:shd w:val="clear" w:color="auto" w:fill="DDE6E7"/>
          </w:tcPr>
          <w:p w14:paraId="7729E1D1" w14:textId="77777777" w:rsidR="00A74A71" w:rsidRPr="009C4387" w:rsidRDefault="00A74A71" w:rsidP="007F4CE5">
            <w:pPr>
              <w:rPr>
                <w:sz w:val="20"/>
                <w:szCs w:val="20"/>
              </w:rPr>
            </w:pPr>
            <w:r w:rsidRPr="009C4387">
              <w:rPr>
                <w:sz w:val="20"/>
                <w:szCs w:val="20"/>
              </w:rPr>
              <w:t>Blaine Co</w:t>
            </w:r>
          </w:p>
        </w:tc>
        <w:tc>
          <w:tcPr>
            <w:tcW w:w="1373" w:type="pct"/>
            <w:tcBorders>
              <w:top w:val="single" w:sz="4" w:space="0" w:color="auto"/>
              <w:left w:val="nil"/>
              <w:bottom w:val="single" w:sz="4" w:space="0" w:color="auto"/>
              <w:right w:val="nil"/>
            </w:tcBorders>
            <w:shd w:val="clear" w:color="auto" w:fill="auto"/>
            <w:vAlign w:val="bottom"/>
          </w:tcPr>
          <w:p w14:paraId="718E01CE" w14:textId="20B96091"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3829CF46" w14:textId="734B22C0"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6F8FCFDD" w14:textId="37017C42" w:rsidTr="00A74A71">
        <w:trPr>
          <w:trHeight w:val="20"/>
          <w:jc w:val="center"/>
        </w:trPr>
        <w:tc>
          <w:tcPr>
            <w:tcW w:w="2256" w:type="pct"/>
            <w:shd w:val="clear" w:color="auto" w:fill="DDE6E7"/>
          </w:tcPr>
          <w:p w14:paraId="7C43123D" w14:textId="77777777" w:rsidR="00A74A71" w:rsidRPr="009C4387" w:rsidRDefault="00A74A71" w:rsidP="007F4CE5">
            <w:pPr>
              <w:rPr>
                <w:sz w:val="20"/>
                <w:szCs w:val="20"/>
              </w:rPr>
            </w:pPr>
            <w:r w:rsidRPr="009C4387">
              <w:rPr>
                <w:sz w:val="20"/>
                <w:szCs w:val="20"/>
              </w:rPr>
              <w:t>Broadwater Co</w:t>
            </w:r>
          </w:p>
        </w:tc>
        <w:tc>
          <w:tcPr>
            <w:tcW w:w="1373" w:type="pct"/>
            <w:tcBorders>
              <w:top w:val="single" w:sz="4" w:space="0" w:color="auto"/>
              <w:left w:val="nil"/>
              <w:bottom w:val="single" w:sz="4" w:space="0" w:color="auto"/>
              <w:right w:val="nil"/>
            </w:tcBorders>
            <w:shd w:val="clear" w:color="auto" w:fill="auto"/>
            <w:vAlign w:val="bottom"/>
          </w:tcPr>
          <w:p w14:paraId="37746A13" w14:textId="47522DE6" w:rsidR="00A74A71" w:rsidRPr="0079218D" w:rsidRDefault="00A74A71" w:rsidP="007F4CE5">
            <w:pPr>
              <w:jc w:val="center"/>
              <w:rPr>
                <w:rFonts w:cstheme="minorHAnsi"/>
                <w:sz w:val="20"/>
                <w:szCs w:val="20"/>
              </w:rPr>
            </w:pPr>
            <w:r>
              <w:rPr>
                <w:rFonts w:cstheme="minorHAnsi"/>
                <w:sz w:val="20"/>
                <w:szCs w:val="20"/>
              </w:rPr>
              <w:t>$293,000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4F08C2EC" w14:textId="24812772"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052E9C37" w14:textId="1E2AB47F" w:rsidTr="00A74A71">
        <w:trPr>
          <w:trHeight w:val="233"/>
          <w:jc w:val="center"/>
        </w:trPr>
        <w:tc>
          <w:tcPr>
            <w:tcW w:w="2256" w:type="pct"/>
            <w:tcBorders>
              <w:bottom w:val="single" w:sz="4" w:space="0" w:color="auto"/>
            </w:tcBorders>
            <w:shd w:val="clear" w:color="auto" w:fill="DDE6E7"/>
          </w:tcPr>
          <w:p w14:paraId="7B2636A9" w14:textId="77777777" w:rsidR="00A74A71" w:rsidRPr="009C4387" w:rsidRDefault="00A74A71" w:rsidP="007F4CE5">
            <w:pPr>
              <w:rPr>
                <w:sz w:val="20"/>
                <w:szCs w:val="20"/>
              </w:rPr>
            </w:pPr>
            <w:r w:rsidRPr="009C4387">
              <w:rPr>
                <w:sz w:val="20"/>
                <w:szCs w:val="20"/>
              </w:rPr>
              <w:t>Carter Co</w:t>
            </w:r>
          </w:p>
        </w:tc>
        <w:tc>
          <w:tcPr>
            <w:tcW w:w="1373" w:type="pct"/>
            <w:tcBorders>
              <w:top w:val="single" w:sz="4" w:space="0" w:color="auto"/>
              <w:left w:val="nil"/>
              <w:bottom w:val="single" w:sz="4" w:space="0" w:color="auto"/>
              <w:right w:val="nil"/>
            </w:tcBorders>
            <w:shd w:val="clear" w:color="auto" w:fill="auto"/>
            <w:vAlign w:val="bottom"/>
          </w:tcPr>
          <w:p w14:paraId="5393D57E" w14:textId="419CB119"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675B4107" w14:textId="09D31875"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5649A053" w14:textId="32DAA207" w:rsidTr="00A74A71">
        <w:trPr>
          <w:trHeight w:val="20"/>
          <w:jc w:val="center"/>
        </w:trPr>
        <w:tc>
          <w:tcPr>
            <w:tcW w:w="2256" w:type="pct"/>
            <w:shd w:val="clear" w:color="auto" w:fill="DDE6E7"/>
          </w:tcPr>
          <w:p w14:paraId="682BACBD" w14:textId="77777777" w:rsidR="00A74A71" w:rsidRPr="009C4387" w:rsidRDefault="00A74A71" w:rsidP="007F4CE5">
            <w:pPr>
              <w:rPr>
                <w:sz w:val="20"/>
                <w:szCs w:val="20"/>
              </w:rPr>
            </w:pPr>
            <w:r w:rsidRPr="009C4387">
              <w:rPr>
                <w:sz w:val="20"/>
                <w:szCs w:val="20"/>
              </w:rPr>
              <w:t>Chouteau Co</w:t>
            </w:r>
          </w:p>
        </w:tc>
        <w:tc>
          <w:tcPr>
            <w:tcW w:w="1373" w:type="pct"/>
            <w:tcBorders>
              <w:top w:val="single" w:sz="4" w:space="0" w:color="auto"/>
              <w:left w:val="nil"/>
              <w:bottom w:val="single" w:sz="4" w:space="0" w:color="auto"/>
              <w:right w:val="nil"/>
            </w:tcBorders>
            <w:shd w:val="clear" w:color="auto" w:fill="auto"/>
            <w:vAlign w:val="bottom"/>
          </w:tcPr>
          <w:p w14:paraId="5AFCB67B" w14:textId="3342DC09"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0886C362" w14:textId="025E0465"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2D0626E4" w14:textId="35023C1A" w:rsidTr="00A74A71">
        <w:trPr>
          <w:trHeight w:val="20"/>
          <w:jc w:val="center"/>
        </w:trPr>
        <w:tc>
          <w:tcPr>
            <w:tcW w:w="2256" w:type="pct"/>
            <w:shd w:val="clear" w:color="auto" w:fill="DDE6E7"/>
          </w:tcPr>
          <w:p w14:paraId="61986D70" w14:textId="77777777" w:rsidR="00A74A71" w:rsidRPr="009C4387" w:rsidRDefault="00A74A71" w:rsidP="007F4CE5">
            <w:pPr>
              <w:rPr>
                <w:sz w:val="20"/>
                <w:szCs w:val="20"/>
              </w:rPr>
            </w:pPr>
            <w:r w:rsidRPr="009C4387">
              <w:rPr>
                <w:sz w:val="20"/>
                <w:szCs w:val="20"/>
              </w:rPr>
              <w:t>Custer Co</w:t>
            </w:r>
          </w:p>
        </w:tc>
        <w:tc>
          <w:tcPr>
            <w:tcW w:w="1373" w:type="pct"/>
            <w:tcBorders>
              <w:top w:val="single" w:sz="4" w:space="0" w:color="auto"/>
              <w:left w:val="nil"/>
              <w:bottom w:val="single" w:sz="4" w:space="0" w:color="auto"/>
              <w:right w:val="nil"/>
            </w:tcBorders>
            <w:shd w:val="clear" w:color="auto" w:fill="auto"/>
            <w:vAlign w:val="bottom"/>
          </w:tcPr>
          <w:p w14:paraId="67F3E8F8" w14:textId="36B7BAE1"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31C87F72" w14:textId="6BDB3988"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0DF753B5" w14:textId="73CE159F" w:rsidTr="00A74A71">
        <w:trPr>
          <w:trHeight w:val="20"/>
          <w:jc w:val="center"/>
        </w:trPr>
        <w:tc>
          <w:tcPr>
            <w:tcW w:w="2256" w:type="pct"/>
            <w:shd w:val="clear" w:color="auto" w:fill="DDE6E7"/>
          </w:tcPr>
          <w:p w14:paraId="600EBC0A" w14:textId="77777777" w:rsidR="00A74A71" w:rsidRPr="009C4387" w:rsidRDefault="00A74A71" w:rsidP="007F4CE5">
            <w:pPr>
              <w:rPr>
                <w:sz w:val="20"/>
                <w:szCs w:val="20"/>
              </w:rPr>
            </w:pPr>
            <w:r w:rsidRPr="009C4387">
              <w:rPr>
                <w:sz w:val="20"/>
                <w:szCs w:val="20"/>
              </w:rPr>
              <w:t>Daniels Co</w:t>
            </w:r>
          </w:p>
        </w:tc>
        <w:tc>
          <w:tcPr>
            <w:tcW w:w="1373" w:type="pct"/>
            <w:tcBorders>
              <w:top w:val="single" w:sz="4" w:space="0" w:color="auto"/>
              <w:left w:val="nil"/>
              <w:bottom w:val="single" w:sz="4" w:space="0" w:color="auto"/>
              <w:right w:val="nil"/>
            </w:tcBorders>
            <w:shd w:val="clear" w:color="auto" w:fill="auto"/>
            <w:vAlign w:val="bottom"/>
          </w:tcPr>
          <w:p w14:paraId="34AA7E10" w14:textId="418919E9"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44207377" w14:textId="543B0201"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7A2C3BA7" w14:textId="2BFA7C11" w:rsidTr="00A74A71">
        <w:trPr>
          <w:trHeight w:val="20"/>
          <w:jc w:val="center"/>
        </w:trPr>
        <w:tc>
          <w:tcPr>
            <w:tcW w:w="2256" w:type="pct"/>
            <w:shd w:val="clear" w:color="auto" w:fill="DDE6E7"/>
          </w:tcPr>
          <w:p w14:paraId="645307DD" w14:textId="77777777" w:rsidR="00A74A71" w:rsidRPr="009C4387" w:rsidRDefault="00A74A71" w:rsidP="007F4CE5">
            <w:pPr>
              <w:rPr>
                <w:sz w:val="20"/>
                <w:szCs w:val="20"/>
              </w:rPr>
            </w:pPr>
            <w:r w:rsidRPr="009C4387">
              <w:rPr>
                <w:sz w:val="20"/>
                <w:szCs w:val="20"/>
              </w:rPr>
              <w:t>Dawson Co</w:t>
            </w:r>
          </w:p>
        </w:tc>
        <w:tc>
          <w:tcPr>
            <w:tcW w:w="1373" w:type="pct"/>
            <w:tcBorders>
              <w:top w:val="single" w:sz="4" w:space="0" w:color="auto"/>
              <w:left w:val="nil"/>
              <w:bottom w:val="single" w:sz="4" w:space="0" w:color="auto"/>
              <w:right w:val="nil"/>
            </w:tcBorders>
            <w:shd w:val="clear" w:color="auto" w:fill="auto"/>
            <w:vAlign w:val="bottom"/>
          </w:tcPr>
          <w:p w14:paraId="6B5D46D3" w14:textId="43B3E71F"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437657DD" w14:textId="76C8CAFC"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0BE24325" w14:textId="2E15A243" w:rsidTr="00A74A71">
        <w:trPr>
          <w:trHeight w:val="20"/>
          <w:jc w:val="center"/>
        </w:trPr>
        <w:tc>
          <w:tcPr>
            <w:tcW w:w="2256" w:type="pct"/>
            <w:shd w:val="clear" w:color="auto" w:fill="DDE6E7"/>
          </w:tcPr>
          <w:p w14:paraId="0DF97307" w14:textId="77777777" w:rsidR="00A74A71" w:rsidRPr="009C4387" w:rsidRDefault="00A74A71" w:rsidP="007F4CE5">
            <w:pPr>
              <w:rPr>
                <w:sz w:val="20"/>
                <w:szCs w:val="20"/>
              </w:rPr>
            </w:pPr>
            <w:r w:rsidRPr="009C4387">
              <w:rPr>
                <w:sz w:val="20"/>
                <w:szCs w:val="20"/>
              </w:rPr>
              <w:t>Deer Lodge Co</w:t>
            </w:r>
          </w:p>
        </w:tc>
        <w:tc>
          <w:tcPr>
            <w:tcW w:w="1373" w:type="pct"/>
            <w:tcBorders>
              <w:top w:val="single" w:sz="4" w:space="0" w:color="auto"/>
              <w:left w:val="nil"/>
              <w:bottom w:val="single" w:sz="4" w:space="0" w:color="auto"/>
              <w:right w:val="nil"/>
            </w:tcBorders>
            <w:shd w:val="clear" w:color="auto" w:fill="auto"/>
            <w:vAlign w:val="bottom"/>
          </w:tcPr>
          <w:p w14:paraId="79C461B4" w14:textId="67B6642E"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0EFEAA2D" w14:textId="10201199"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7807D5C4" w14:textId="5AD33EE9" w:rsidTr="00A74A71">
        <w:trPr>
          <w:trHeight w:val="20"/>
          <w:jc w:val="center"/>
        </w:trPr>
        <w:tc>
          <w:tcPr>
            <w:tcW w:w="2256" w:type="pct"/>
            <w:shd w:val="clear" w:color="auto" w:fill="DDE6E7"/>
          </w:tcPr>
          <w:p w14:paraId="02369AF1" w14:textId="77777777" w:rsidR="00A74A71" w:rsidRPr="009C4387" w:rsidRDefault="00A74A71" w:rsidP="007F4CE5">
            <w:pPr>
              <w:rPr>
                <w:sz w:val="20"/>
                <w:szCs w:val="20"/>
              </w:rPr>
            </w:pPr>
            <w:r w:rsidRPr="009C4387">
              <w:rPr>
                <w:sz w:val="20"/>
                <w:szCs w:val="20"/>
              </w:rPr>
              <w:t>Fallon Co</w:t>
            </w:r>
          </w:p>
        </w:tc>
        <w:tc>
          <w:tcPr>
            <w:tcW w:w="1373" w:type="pct"/>
            <w:tcBorders>
              <w:top w:val="single" w:sz="4" w:space="0" w:color="auto"/>
              <w:left w:val="nil"/>
              <w:bottom w:val="single" w:sz="4" w:space="0" w:color="auto"/>
              <w:right w:val="nil"/>
            </w:tcBorders>
            <w:shd w:val="clear" w:color="auto" w:fill="auto"/>
            <w:vAlign w:val="bottom"/>
          </w:tcPr>
          <w:p w14:paraId="5BF687C7" w14:textId="5B2E2355"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7521642E" w14:textId="394FCB5C"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37E32ADD" w14:textId="1D0D3C5D" w:rsidTr="00A74A71">
        <w:trPr>
          <w:trHeight w:val="20"/>
          <w:jc w:val="center"/>
        </w:trPr>
        <w:tc>
          <w:tcPr>
            <w:tcW w:w="2256" w:type="pct"/>
            <w:shd w:val="clear" w:color="auto" w:fill="DDE6E7"/>
          </w:tcPr>
          <w:p w14:paraId="5FA0BA99" w14:textId="77777777" w:rsidR="00A74A71" w:rsidRPr="009C4387" w:rsidRDefault="00A74A71" w:rsidP="007F4CE5">
            <w:pPr>
              <w:rPr>
                <w:sz w:val="20"/>
                <w:szCs w:val="20"/>
              </w:rPr>
            </w:pPr>
            <w:r w:rsidRPr="009C4387">
              <w:rPr>
                <w:sz w:val="20"/>
                <w:szCs w:val="20"/>
              </w:rPr>
              <w:t>Fergus Co</w:t>
            </w:r>
          </w:p>
        </w:tc>
        <w:tc>
          <w:tcPr>
            <w:tcW w:w="1373" w:type="pct"/>
            <w:tcBorders>
              <w:top w:val="single" w:sz="4" w:space="0" w:color="auto"/>
              <w:left w:val="nil"/>
              <w:bottom w:val="single" w:sz="4" w:space="0" w:color="auto"/>
              <w:right w:val="nil"/>
            </w:tcBorders>
            <w:shd w:val="clear" w:color="auto" w:fill="auto"/>
            <w:vAlign w:val="bottom"/>
          </w:tcPr>
          <w:p w14:paraId="3F1E9BF9" w14:textId="140E5FEE"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1FD174CF" w14:textId="45396BC7"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6DCB9479" w14:textId="417AE571" w:rsidTr="00A74A71">
        <w:trPr>
          <w:trHeight w:val="20"/>
          <w:jc w:val="center"/>
        </w:trPr>
        <w:tc>
          <w:tcPr>
            <w:tcW w:w="2256" w:type="pct"/>
            <w:shd w:val="clear" w:color="auto" w:fill="DDE6E7"/>
          </w:tcPr>
          <w:p w14:paraId="20F0309C" w14:textId="77777777" w:rsidR="00A74A71" w:rsidRPr="009C4387" w:rsidRDefault="00A74A71" w:rsidP="007F4CE5">
            <w:pPr>
              <w:rPr>
                <w:sz w:val="20"/>
                <w:szCs w:val="20"/>
              </w:rPr>
            </w:pPr>
            <w:r w:rsidRPr="009C4387">
              <w:rPr>
                <w:sz w:val="20"/>
                <w:szCs w:val="20"/>
              </w:rPr>
              <w:t>Flathead Co</w:t>
            </w:r>
          </w:p>
        </w:tc>
        <w:tc>
          <w:tcPr>
            <w:tcW w:w="1373" w:type="pct"/>
            <w:tcBorders>
              <w:top w:val="single" w:sz="4" w:space="0" w:color="auto"/>
              <w:left w:val="nil"/>
              <w:bottom w:val="single" w:sz="4" w:space="0" w:color="auto"/>
              <w:right w:val="nil"/>
            </w:tcBorders>
            <w:shd w:val="clear" w:color="auto" w:fill="auto"/>
            <w:vAlign w:val="bottom"/>
          </w:tcPr>
          <w:p w14:paraId="37F64D75" w14:textId="09C30605" w:rsidR="00A74A71" w:rsidRPr="0079218D" w:rsidRDefault="00A74A71" w:rsidP="007F4CE5">
            <w:pPr>
              <w:jc w:val="center"/>
              <w:rPr>
                <w:rFonts w:cstheme="minorHAnsi"/>
                <w:sz w:val="20"/>
                <w:szCs w:val="20"/>
              </w:rPr>
            </w:pPr>
            <w:r>
              <w:rPr>
                <w:rFonts w:cstheme="minorHAnsi"/>
                <w:sz w:val="20"/>
                <w:szCs w:val="20"/>
              </w:rPr>
              <w:t>$428,000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22C0FB64" w14:textId="563EB323" w:rsidR="00A74A71" w:rsidRPr="0079218D" w:rsidRDefault="00A74A71" w:rsidP="007F4CE5">
            <w:pPr>
              <w:jc w:val="center"/>
              <w:rPr>
                <w:rFonts w:cstheme="minorHAnsi"/>
                <w:sz w:val="20"/>
                <w:szCs w:val="20"/>
              </w:rPr>
            </w:pPr>
            <w:r>
              <w:rPr>
                <w:rFonts w:cstheme="minorHAnsi"/>
                <w:sz w:val="20"/>
                <w:szCs w:val="20"/>
              </w:rPr>
              <w:t>$428,000</w:t>
            </w:r>
          </w:p>
        </w:tc>
      </w:tr>
      <w:tr w:rsidR="00A74A71" w:rsidRPr="0079218D" w14:paraId="22CE08F3" w14:textId="6078EEE9" w:rsidTr="00A74A71">
        <w:trPr>
          <w:trHeight w:val="20"/>
          <w:jc w:val="center"/>
        </w:trPr>
        <w:tc>
          <w:tcPr>
            <w:tcW w:w="2256" w:type="pct"/>
            <w:shd w:val="clear" w:color="auto" w:fill="DDE6E7"/>
          </w:tcPr>
          <w:p w14:paraId="360BCAF6" w14:textId="77777777" w:rsidR="00A74A71" w:rsidRPr="009C4387" w:rsidRDefault="00A74A71" w:rsidP="007F4CE5">
            <w:pPr>
              <w:rPr>
                <w:sz w:val="20"/>
                <w:szCs w:val="20"/>
              </w:rPr>
            </w:pPr>
            <w:r w:rsidRPr="009C4387">
              <w:rPr>
                <w:sz w:val="20"/>
                <w:szCs w:val="20"/>
              </w:rPr>
              <w:t>Gallatin Co</w:t>
            </w:r>
          </w:p>
        </w:tc>
        <w:tc>
          <w:tcPr>
            <w:tcW w:w="1373" w:type="pct"/>
            <w:tcBorders>
              <w:top w:val="single" w:sz="4" w:space="0" w:color="auto"/>
              <w:left w:val="nil"/>
              <w:bottom w:val="single" w:sz="4" w:space="0" w:color="auto"/>
              <w:right w:val="nil"/>
            </w:tcBorders>
            <w:shd w:val="clear" w:color="auto" w:fill="auto"/>
            <w:vAlign w:val="bottom"/>
          </w:tcPr>
          <w:p w14:paraId="331BC2EF" w14:textId="721EA3B5" w:rsidR="00A74A71" w:rsidRPr="0079218D" w:rsidRDefault="00A74A71" w:rsidP="007F4CE5">
            <w:pPr>
              <w:jc w:val="center"/>
              <w:rPr>
                <w:rFonts w:cstheme="minorHAnsi"/>
                <w:sz w:val="20"/>
                <w:szCs w:val="20"/>
              </w:rPr>
            </w:pPr>
            <w:r>
              <w:rPr>
                <w:rFonts w:cstheme="minorHAnsi"/>
                <w:sz w:val="20"/>
                <w:szCs w:val="20"/>
              </w:rPr>
              <w:t>$466,000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1A725AB5" w14:textId="740377E5" w:rsidR="00A74A71" w:rsidRPr="0079218D" w:rsidRDefault="00A74A71" w:rsidP="007F4CE5">
            <w:pPr>
              <w:jc w:val="center"/>
              <w:rPr>
                <w:rFonts w:cstheme="minorHAnsi"/>
                <w:sz w:val="20"/>
                <w:szCs w:val="20"/>
              </w:rPr>
            </w:pPr>
            <w:r>
              <w:rPr>
                <w:rFonts w:cstheme="minorHAnsi"/>
                <w:sz w:val="20"/>
                <w:szCs w:val="20"/>
              </w:rPr>
              <w:t>$466,000</w:t>
            </w:r>
          </w:p>
        </w:tc>
      </w:tr>
      <w:tr w:rsidR="00A74A71" w:rsidRPr="0079218D" w14:paraId="3878316C" w14:textId="300E811C" w:rsidTr="00A74A71">
        <w:trPr>
          <w:trHeight w:val="20"/>
          <w:jc w:val="center"/>
        </w:trPr>
        <w:tc>
          <w:tcPr>
            <w:tcW w:w="2256" w:type="pct"/>
            <w:shd w:val="clear" w:color="auto" w:fill="DDE6E7"/>
          </w:tcPr>
          <w:p w14:paraId="553A11F7" w14:textId="77777777" w:rsidR="00A74A71" w:rsidRPr="009C4387" w:rsidRDefault="00A74A71" w:rsidP="007F4CE5">
            <w:pPr>
              <w:rPr>
                <w:sz w:val="20"/>
                <w:szCs w:val="20"/>
              </w:rPr>
            </w:pPr>
            <w:r w:rsidRPr="009C4387">
              <w:rPr>
                <w:sz w:val="20"/>
                <w:szCs w:val="20"/>
              </w:rPr>
              <w:t>Garfield Co</w:t>
            </w:r>
          </w:p>
        </w:tc>
        <w:tc>
          <w:tcPr>
            <w:tcW w:w="1373" w:type="pct"/>
            <w:tcBorders>
              <w:top w:val="single" w:sz="4" w:space="0" w:color="auto"/>
              <w:left w:val="nil"/>
              <w:bottom w:val="single" w:sz="4" w:space="0" w:color="auto"/>
              <w:right w:val="nil"/>
            </w:tcBorders>
            <w:shd w:val="clear" w:color="auto" w:fill="auto"/>
            <w:vAlign w:val="bottom"/>
          </w:tcPr>
          <w:p w14:paraId="0FCAF9D1" w14:textId="1C7B5A41"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377BE138" w14:textId="441B88B9"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53F72F93" w14:textId="267BF737" w:rsidTr="00A74A71">
        <w:trPr>
          <w:trHeight w:val="20"/>
          <w:jc w:val="center"/>
        </w:trPr>
        <w:tc>
          <w:tcPr>
            <w:tcW w:w="2256" w:type="pct"/>
            <w:shd w:val="clear" w:color="auto" w:fill="DDE6E7"/>
          </w:tcPr>
          <w:p w14:paraId="760CC968" w14:textId="77777777" w:rsidR="00A74A71" w:rsidRPr="009C4387" w:rsidRDefault="00A74A71" w:rsidP="007F4CE5">
            <w:pPr>
              <w:rPr>
                <w:sz w:val="20"/>
                <w:szCs w:val="20"/>
              </w:rPr>
            </w:pPr>
            <w:r w:rsidRPr="009C4387">
              <w:rPr>
                <w:sz w:val="20"/>
                <w:szCs w:val="20"/>
              </w:rPr>
              <w:t>Glacier Co</w:t>
            </w:r>
          </w:p>
        </w:tc>
        <w:tc>
          <w:tcPr>
            <w:tcW w:w="1373" w:type="pct"/>
            <w:tcBorders>
              <w:top w:val="single" w:sz="4" w:space="0" w:color="auto"/>
              <w:left w:val="nil"/>
              <w:bottom w:val="single" w:sz="4" w:space="0" w:color="auto"/>
              <w:right w:val="nil"/>
            </w:tcBorders>
            <w:shd w:val="clear" w:color="auto" w:fill="auto"/>
            <w:vAlign w:val="bottom"/>
          </w:tcPr>
          <w:p w14:paraId="097AD98F" w14:textId="4342410F"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7CC7B299" w14:textId="6F58F6D9"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4E9AB4DE" w14:textId="141B8B93" w:rsidTr="00A74A71">
        <w:trPr>
          <w:trHeight w:val="20"/>
          <w:jc w:val="center"/>
        </w:trPr>
        <w:tc>
          <w:tcPr>
            <w:tcW w:w="2256" w:type="pct"/>
            <w:shd w:val="clear" w:color="auto" w:fill="DDE6E7"/>
          </w:tcPr>
          <w:p w14:paraId="4CE8F5BD" w14:textId="77777777" w:rsidR="00A74A71" w:rsidRPr="009C4387" w:rsidRDefault="00A74A71" w:rsidP="007F4CE5">
            <w:pPr>
              <w:rPr>
                <w:sz w:val="20"/>
                <w:szCs w:val="20"/>
              </w:rPr>
            </w:pPr>
            <w:r w:rsidRPr="009C4387">
              <w:rPr>
                <w:sz w:val="20"/>
                <w:szCs w:val="20"/>
              </w:rPr>
              <w:t>Granite Co</w:t>
            </w:r>
          </w:p>
        </w:tc>
        <w:tc>
          <w:tcPr>
            <w:tcW w:w="1373" w:type="pct"/>
            <w:tcBorders>
              <w:top w:val="single" w:sz="4" w:space="0" w:color="auto"/>
              <w:left w:val="nil"/>
              <w:bottom w:val="single" w:sz="4" w:space="0" w:color="auto"/>
              <w:right w:val="nil"/>
            </w:tcBorders>
            <w:shd w:val="clear" w:color="auto" w:fill="auto"/>
            <w:vAlign w:val="bottom"/>
          </w:tcPr>
          <w:p w14:paraId="14236D7A" w14:textId="18B09D3A" w:rsidR="00A74A71" w:rsidRPr="0079218D" w:rsidRDefault="00A74A71" w:rsidP="007F4CE5">
            <w:pPr>
              <w:jc w:val="center"/>
              <w:rPr>
                <w:rFonts w:cstheme="minorHAnsi"/>
                <w:sz w:val="20"/>
                <w:szCs w:val="20"/>
              </w:rPr>
            </w:pPr>
            <w:r>
              <w:rPr>
                <w:rFonts w:cstheme="minorHAnsi"/>
                <w:sz w:val="20"/>
                <w:szCs w:val="20"/>
              </w:rPr>
              <w:t>$233,000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7FC640C5" w14:textId="4302D446"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76A4DAF3" w14:textId="73AFB282" w:rsidTr="00A74A71">
        <w:trPr>
          <w:trHeight w:val="20"/>
          <w:jc w:val="center"/>
        </w:trPr>
        <w:tc>
          <w:tcPr>
            <w:tcW w:w="2256" w:type="pct"/>
            <w:shd w:val="clear" w:color="auto" w:fill="DDE6E7"/>
          </w:tcPr>
          <w:p w14:paraId="20197AB2" w14:textId="77777777" w:rsidR="00A74A71" w:rsidRPr="009C4387" w:rsidRDefault="00A74A71" w:rsidP="007F4CE5">
            <w:pPr>
              <w:rPr>
                <w:sz w:val="20"/>
                <w:szCs w:val="20"/>
              </w:rPr>
            </w:pPr>
            <w:r w:rsidRPr="009C4387">
              <w:rPr>
                <w:sz w:val="20"/>
                <w:szCs w:val="20"/>
              </w:rPr>
              <w:t>Hill Co</w:t>
            </w:r>
          </w:p>
        </w:tc>
        <w:tc>
          <w:tcPr>
            <w:tcW w:w="1373" w:type="pct"/>
            <w:tcBorders>
              <w:top w:val="single" w:sz="4" w:space="0" w:color="auto"/>
              <w:left w:val="nil"/>
              <w:bottom w:val="single" w:sz="4" w:space="0" w:color="auto"/>
              <w:right w:val="nil"/>
            </w:tcBorders>
            <w:shd w:val="clear" w:color="auto" w:fill="auto"/>
            <w:vAlign w:val="bottom"/>
          </w:tcPr>
          <w:p w14:paraId="5A3FD909" w14:textId="4A8C7470"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366029A0" w14:textId="5E965B91"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0EB49E8D" w14:textId="2229B778" w:rsidTr="00A74A71">
        <w:trPr>
          <w:trHeight w:val="20"/>
          <w:jc w:val="center"/>
        </w:trPr>
        <w:tc>
          <w:tcPr>
            <w:tcW w:w="2256" w:type="pct"/>
            <w:shd w:val="clear" w:color="auto" w:fill="DDE6E7"/>
          </w:tcPr>
          <w:p w14:paraId="2D70A360" w14:textId="77777777" w:rsidR="00A74A71" w:rsidRPr="009C4387" w:rsidRDefault="00A74A71" w:rsidP="007F4CE5">
            <w:pPr>
              <w:rPr>
                <w:sz w:val="20"/>
                <w:szCs w:val="20"/>
              </w:rPr>
            </w:pPr>
            <w:r w:rsidRPr="009C4387">
              <w:rPr>
                <w:sz w:val="20"/>
                <w:szCs w:val="20"/>
              </w:rPr>
              <w:t>Jefferson Co</w:t>
            </w:r>
          </w:p>
        </w:tc>
        <w:tc>
          <w:tcPr>
            <w:tcW w:w="1373" w:type="pct"/>
            <w:tcBorders>
              <w:top w:val="single" w:sz="4" w:space="0" w:color="auto"/>
              <w:left w:val="nil"/>
              <w:bottom w:val="single" w:sz="4" w:space="0" w:color="auto"/>
              <w:right w:val="nil"/>
            </w:tcBorders>
            <w:shd w:val="clear" w:color="auto" w:fill="auto"/>
            <w:vAlign w:val="bottom"/>
          </w:tcPr>
          <w:p w14:paraId="75663AB2" w14:textId="746532A6" w:rsidR="00A74A71" w:rsidRPr="0079218D" w:rsidRDefault="00A74A71" w:rsidP="007F4CE5">
            <w:pPr>
              <w:jc w:val="center"/>
              <w:rPr>
                <w:rFonts w:cstheme="minorHAnsi"/>
                <w:sz w:val="20"/>
                <w:szCs w:val="20"/>
              </w:rPr>
            </w:pPr>
            <w:r>
              <w:rPr>
                <w:rFonts w:cstheme="minorHAnsi"/>
                <w:sz w:val="20"/>
                <w:szCs w:val="20"/>
              </w:rPr>
              <w:t>$323,000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35702FFD" w14:textId="4943B738"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3CFA2DC7" w14:textId="2BEDDBFF" w:rsidTr="00A74A71">
        <w:trPr>
          <w:trHeight w:val="20"/>
          <w:jc w:val="center"/>
        </w:trPr>
        <w:tc>
          <w:tcPr>
            <w:tcW w:w="2256" w:type="pct"/>
            <w:shd w:val="clear" w:color="auto" w:fill="DDE6E7"/>
          </w:tcPr>
          <w:p w14:paraId="42334257" w14:textId="77777777" w:rsidR="00A74A71" w:rsidRPr="009C4387" w:rsidRDefault="00A74A71" w:rsidP="007F4CE5">
            <w:pPr>
              <w:rPr>
                <w:sz w:val="20"/>
                <w:szCs w:val="20"/>
              </w:rPr>
            </w:pPr>
            <w:r w:rsidRPr="009C4387">
              <w:rPr>
                <w:sz w:val="20"/>
                <w:szCs w:val="20"/>
              </w:rPr>
              <w:t>Judith Basin Co</w:t>
            </w:r>
          </w:p>
        </w:tc>
        <w:tc>
          <w:tcPr>
            <w:tcW w:w="1373" w:type="pct"/>
            <w:tcBorders>
              <w:top w:val="single" w:sz="4" w:space="0" w:color="auto"/>
              <w:left w:val="nil"/>
              <w:bottom w:val="single" w:sz="4" w:space="0" w:color="auto"/>
              <w:right w:val="nil"/>
            </w:tcBorders>
            <w:shd w:val="clear" w:color="auto" w:fill="auto"/>
            <w:vAlign w:val="bottom"/>
          </w:tcPr>
          <w:p w14:paraId="492C5146" w14:textId="69550E40"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5F1D8C5E" w14:textId="45D8CE9D"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04002153" w14:textId="0B9EDDF9" w:rsidTr="00A74A71">
        <w:trPr>
          <w:trHeight w:val="20"/>
          <w:jc w:val="center"/>
        </w:trPr>
        <w:tc>
          <w:tcPr>
            <w:tcW w:w="2256" w:type="pct"/>
            <w:shd w:val="clear" w:color="auto" w:fill="DDE6E7"/>
          </w:tcPr>
          <w:p w14:paraId="64BB0F78" w14:textId="77777777" w:rsidR="00A74A71" w:rsidRPr="009C4387" w:rsidRDefault="00A74A71" w:rsidP="007F4CE5">
            <w:pPr>
              <w:rPr>
                <w:sz w:val="20"/>
                <w:szCs w:val="20"/>
              </w:rPr>
            </w:pPr>
            <w:r w:rsidRPr="009C4387">
              <w:rPr>
                <w:sz w:val="20"/>
                <w:szCs w:val="20"/>
              </w:rPr>
              <w:t>Lake County</w:t>
            </w:r>
          </w:p>
        </w:tc>
        <w:tc>
          <w:tcPr>
            <w:tcW w:w="1373" w:type="pct"/>
            <w:tcBorders>
              <w:top w:val="single" w:sz="4" w:space="0" w:color="auto"/>
              <w:left w:val="nil"/>
              <w:bottom w:val="single" w:sz="4" w:space="0" w:color="auto"/>
              <w:right w:val="nil"/>
            </w:tcBorders>
            <w:shd w:val="clear" w:color="auto" w:fill="auto"/>
            <w:vAlign w:val="bottom"/>
          </w:tcPr>
          <w:p w14:paraId="03B2A124" w14:textId="5FCA9F12" w:rsidR="00A74A71" w:rsidRPr="0079218D" w:rsidRDefault="00A74A71" w:rsidP="007F4CE5">
            <w:pPr>
              <w:jc w:val="center"/>
              <w:rPr>
                <w:rFonts w:cstheme="minorHAnsi"/>
                <w:sz w:val="20"/>
                <w:szCs w:val="20"/>
              </w:rPr>
            </w:pPr>
            <w:r>
              <w:rPr>
                <w:rFonts w:cstheme="minorHAnsi"/>
                <w:sz w:val="20"/>
                <w:szCs w:val="20"/>
              </w:rPr>
              <w:t>$328,000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68B65B8B" w14:textId="297B2CC3"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573D7627" w14:textId="36E2C547" w:rsidTr="00A74A71">
        <w:trPr>
          <w:trHeight w:val="20"/>
          <w:jc w:val="center"/>
        </w:trPr>
        <w:tc>
          <w:tcPr>
            <w:tcW w:w="2256" w:type="pct"/>
            <w:shd w:val="clear" w:color="auto" w:fill="DDE6E7"/>
          </w:tcPr>
          <w:p w14:paraId="140B2653" w14:textId="77777777" w:rsidR="00A74A71" w:rsidRPr="009C4387" w:rsidRDefault="00A74A71" w:rsidP="007F4CE5">
            <w:pPr>
              <w:rPr>
                <w:sz w:val="20"/>
                <w:szCs w:val="20"/>
              </w:rPr>
            </w:pPr>
            <w:r w:rsidRPr="009C4387">
              <w:rPr>
                <w:sz w:val="20"/>
                <w:szCs w:val="20"/>
              </w:rPr>
              <w:t>Lewis &amp; Clark Co</w:t>
            </w:r>
          </w:p>
        </w:tc>
        <w:tc>
          <w:tcPr>
            <w:tcW w:w="1373" w:type="pct"/>
            <w:tcBorders>
              <w:top w:val="single" w:sz="4" w:space="0" w:color="auto"/>
              <w:left w:val="nil"/>
              <w:bottom w:val="single" w:sz="4" w:space="0" w:color="auto"/>
              <w:right w:val="nil"/>
            </w:tcBorders>
            <w:shd w:val="clear" w:color="auto" w:fill="auto"/>
            <w:vAlign w:val="bottom"/>
          </w:tcPr>
          <w:p w14:paraId="0551520F" w14:textId="28BF3654" w:rsidR="00A74A71" w:rsidRPr="0079218D" w:rsidRDefault="00A74A71" w:rsidP="007F4CE5">
            <w:pPr>
              <w:jc w:val="center"/>
              <w:rPr>
                <w:rFonts w:cstheme="minorHAnsi"/>
                <w:sz w:val="20"/>
                <w:szCs w:val="20"/>
              </w:rPr>
            </w:pPr>
            <w:r>
              <w:rPr>
                <w:rFonts w:cstheme="minorHAnsi"/>
                <w:sz w:val="20"/>
                <w:szCs w:val="20"/>
              </w:rPr>
              <w:t>$361,000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34B71035" w14:textId="7570F281"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50189F82" w14:textId="6DF58BCE" w:rsidTr="00A74A71">
        <w:trPr>
          <w:trHeight w:val="20"/>
          <w:jc w:val="center"/>
        </w:trPr>
        <w:tc>
          <w:tcPr>
            <w:tcW w:w="2256" w:type="pct"/>
            <w:shd w:val="clear" w:color="auto" w:fill="DDE6E7"/>
          </w:tcPr>
          <w:p w14:paraId="6BEAA92E" w14:textId="77777777" w:rsidR="00A74A71" w:rsidRPr="009C4387" w:rsidRDefault="00A74A71" w:rsidP="007F4CE5">
            <w:pPr>
              <w:rPr>
                <w:sz w:val="20"/>
                <w:szCs w:val="20"/>
              </w:rPr>
            </w:pPr>
            <w:r w:rsidRPr="009C4387">
              <w:rPr>
                <w:sz w:val="20"/>
                <w:szCs w:val="20"/>
              </w:rPr>
              <w:t>Liberty Co</w:t>
            </w:r>
          </w:p>
        </w:tc>
        <w:tc>
          <w:tcPr>
            <w:tcW w:w="1373" w:type="pct"/>
            <w:tcBorders>
              <w:top w:val="single" w:sz="4" w:space="0" w:color="auto"/>
              <w:left w:val="nil"/>
              <w:bottom w:val="single" w:sz="4" w:space="0" w:color="auto"/>
              <w:right w:val="nil"/>
            </w:tcBorders>
            <w:shd w:val="clear" w:color="auto" w:fill="auto"/>
            <w:vAlign w:val="bottom"/>
          </w:tcPr>
          <w:p w14:paraId="0A8931CF" w14:textId="4A93F9AD"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000153C7" w14:textId="09142B83"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0596B808" w14:textId="4DF7A92C" w:rsidTr="00A74A71">
        <w:trPr>
          <w:trHeight w:val="20"/>
          <w:jc w:val="center"/>
        </w:trPr>
        <w:tc>
          <w:tcPr>
            <w:tcW w:w="2256" w:type="pct"/>
            <w:shd w:val="clear" w:color="auto" w:fill="DDE6E7"/>
          </w:tcPr>
          <w:p w14:paraId="5BAC2E3E" w14:textId="77777777" w:rsidR="00A74A71" w:rsidRPr="009C4387" w:rsidRDefault="00A74A71" w:rsidP="007F4CE5">
            <w:pPr>
              <w:rPr>
                <w:sz w:val="20"/>
                <w:szCs w:val="20"/>
              </w:rPr>
            </w:pPr>
            <w:r w:rsidRPr="009C4387">
              <w:rPr>
                <w:sz w:val="20"/>
                <w:szCs w:val="20"/>
              </w:rPr>
              <w:t>Lincoln Co</w:t>
            </w:r>
          </w:p>
        </w:tc>
        <w:tc>
          <w:tcPr>
            <w:tcW w:w="1373" w:type="pct"/>
            <w:tcBorders>
              <w:top w:val="single" w:sz="4" w:space="0" w:color="auto"/>
              <w:left w:val="nil"/>
              <w:bottom w:val="single" w:sz="4" w:space="0" w:color="auto"/>
              <w:right w:val="nil"/>
            </w:tcBorders>
            <w:shd w:val="clear" w:color="auto" w:fill="auto"/>
            <w:vAlign w:val="bottom"/>
          </w:tcPr>
          <w:p w14:paraId="17033B17" w14:textId="561E667C" w:rsidR="00A74A71" w:rsidRPr="0079218D" w:rsidRDefault="00A74A71" w:rsidP="007F4CE5">
            <w:pPr>
              <w:jc w:val="center"/>
              <w:rPr>
                <w:rFonts w:cstheme="minorHAnsi"/>
                <w:sz w:val="20"/>
                <w:szCs w:val="20"/>
              </w:rPr>
            </w:pPr>
            <w:r>
              <w:rPr>
                <w:rFonts w:cstheme="minorHAnsi"/>
                <w:sz w:val="20"/>
                <w:szCs w:val="20"/>
              </w:rPr>
              <w:t>$257,000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3121D973" w14:textId="65D602C0"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0CBC457D" w14:textId="7A9FD7A8" w:rsidTr="00A74A71">
        <w:trPr>
          <w:trHeight w:val="20"/>
          <w:jc w:val="center"/>
        </w:trPr>
        <w:tc>
          <w:tcPr>
            <w:tcW w:w="2256" w:type="pct"/>
            <w:shd w:val="clear" w:color="auto" w:fill="DDE6E7"/>
          </w:tcPr>
          <w:p w14:paraId="021EB0AD" w14:textId="77777777" w:rsidR="00A74A71" w:rsidRPr="009C4387" w:rsidRDefault="00A74A71" w:rsidP="007F4CE5">
            <w:pPr>
              <w:rPr>
                <w:sz w:val="20"/>
                <w:szCs w:val="20"/>
              </w:rPr>
            </w:pPr>
            <w:r w:rsidRPr="009C4387">
              <w:rPr>
                <w:sz w:val="20"/>
                <w:szCs w:val="20"/>
              </w:rPr>
              <w:t>McCone Co</w:t>
            </w:r>
          </w:p>
        </w:tc>
        <w:tc>
          <w:tcPr>
            <w:tcW w:w="1373" w:type="pct"/>
            <w:tcBorders>
              <w:top w:val="single" w:sz="4" w:space="0" w:color="auto"/>
              <w:left w:val="nil"/>
              <w:bottom w:val="single" w:sz="4" w:space="0" w:color="auto"/>
              <w:right w:val="nil"/>
            </w:tcBorders>
            <w:shd w:val="clear" w:color="auto" w:fill="auto"/>
            <w:vAlign w:val="bottom"/>
          </w:tcPr>
          <w:p w14:paraId="4EB78004" w14:textId="674E9529"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612141CA" w14:textId="5E346880"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37848A2B" w14:textId="53E5C2AA" w:rsidTr="00A74A71">
        <w:trPr>
          <w:trHeight w:val="20"/>
          <w:jc w:val="center"/>
        </w:trPr>
        <w:tc>
          <w:tcPr>
            <w:tcW w:w="2256" w:type="pct"/>
            <w:shd w:val="clear" w:color="auto" w:fill="DDE6E7"/>
          </w:tcPr>
          <w:p w14:paraId="2DC28E59" w14:textId="77777777" w:rsidR="00A74A71" w:rsidRPr="009C4387" w:rsidRDefault="00A74A71" w:rsidP="007F4CE5">
            <w:pPr>
              <w:rPr>
                <w:sz w:val="20"/>
                <w:szCs w:val="20"/>
              </w:rPr>
            </w:pPr>
            <w:r w:rsidRPr="009C4387">
              <w:rPr>
                <w:sz w:val="20"/>
                <w:szCs w:val="20"/>
              </w:rPr>
              <w:t>Madison Co</w:t>
            </w:r>
          </w:p>
        </w:tc>
        <w:tc>
          <w:tcPr>
            <w:tcW w:w="1373" w:type="pct"/>
            <w:tcBorders>
              <w:top w:val="single" w:sz="4" w:space="0" w:color="auto"/>
              <w:left w:val="nil"/>
              <w:bottom w:val="single" w:sz="4" w:space="0" w:color="auto"/>
              <w:right w:val="nil"/>
            </w:tcBorders>
            <w:shd w:val="clear" w:color="auto" w:fill="auto"/>
            <w:vAlign w:val="bottom"/>
          </w:tcPr>
          <w:p w14:paraId="3663CD20" w14:textId="6090FDE2" w:rsidR="00A74A71" w:rsidRPr="0079218D" w:rsidRDefault="00A74A71" w:rsidP="007F4CE5">
            <w:pPr>
              <w:jc w:val="center"/>
              <w:rPr>
                <w:rFonts w:cstheme="minorHAnsi"/>
                <w:sz w:val="20"/>
                <w:szCs w:val="20"/>
              </w:rPr>
            </w:pPr>
            <w:r>
              <w:rPr>
                <w:rFonts w:cstheme="minorHAnsi"/>
                <w:sz w:val="20"/>
                <w:szCs w:val="20"/>
              </w:rPr>
              <w:t>$285,000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3069DD42" w14:textId="1B99CDCB"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03AFF610" w14:textId="6859FD39" w:rsidTr="00A74A71">
        <w:trPr>
          <w:trHeight w:val="20"/>
          <w:jc w:val="center"/>
        </w:trPr>
        <w:tc>
          <w:tcPr>
            <w:tcW w:w="2256" w:type="pct"/>
            <w:shd w:val="clear" w:color="auto" w:fill="DDE6E7"/>
          </w:tcPr>
          <w:p w14:paraId="72B56A3C" w14:textId="77777777" w:rsidR="00A74A71" w:rsidRPr="009C4387" w:rsidRDefault="00A74A71" w:rsidP="007F4CE5">
            <w:pPr>
              <w:rPr>
                <w:sz w:val="20"/>
                <w:szCs w:val="20"/>
              </w:rPr>
            </w:pPr>
            <w:r w:rsidRPr="009C4387">
              <w:rPr>
                <w:sz w:val="20"/>
                <w:szCs w:val="20"/>
              </w:rPr>
              <w:t>Meagher Co</w:t>
            </w:r>
          </w:p>
        </w:tc>
        <w:tc>
          <w:tcPr>
            <w:tcW w:w="1373" w:type="pct"/>
            <w:tcBorders>
              <w:top w:val="single" w:sz="4" w:space="0" w:color="auto"/>
              <w:left w:val="nil"/>
              <w:bottom w:val="single" w:sz="4" w:space="0" w:color="auto"/>
              <w:right w:val="nil"/>
            </w:tcBorders>
            <w:shd w:val="clear" w:color="auto" w:fill="auto"/>
            <w:vAlign w:val="bottom"/>
          </w:tcPr>
          <w:p w14:paraId="62EEA198" w14:textId="3568B8EB"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5F546226" w14:textId="7678AFAC"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0D5DC94E" w14:textId="434641F7" w:rsidTr="00A74A71">
        <w:trPr>
          <w:trHeight w:val="20"/>
          <w:jc w:val="center"/>
        </w:trPr>
        <w:tc>
          <w:tcPr>
            <w:tcW w:w="2256" w:type="pct"/>
            <w:shd w:val="clear" w:color="auto" w:fill="DDE6E7"/>
          </w:tcPr>
          <w:p w14:paraId="107F6310" w14:textId="77777777" w:rsidR="00A74A71" w:rsidRPr="009C4387" w:rsidRDefault="00A74A71" w:rsidP="007F4CE5">
            <w:pPr>
              <w:rPr>
                <w:sz w:val="20"/>
                <w:szCs w:val="20"/>
              </w:rPr>
            </w:pPr>
            <w:r w:rsidRPr="009C4387">
              <w:rPr>
                <w:sz w:val="20"/>
                <w:szCs w:val="20"/>
              </w:rPr>
              <w:t xml:space="preserve">Mineral Co </w:t>
            </w:r>
          </w:p>
        </w:tc>
        <w:tc>
          <w:tcPr>
            <w:tcW w:w="1373" w:type="pct"/>
            <w:tcBorders>
              <w:top w:val="single" w:sz="4" w:space="0" w:color="auto"/>
              <w:left w:val="nil"/>
              <w:bottom w:val="single" w:sz="4" w:space="0" w:color="auto"/>
              <w:right w:val="nil"/>
            </w:tcBorders>
            <w:shd w:val="clear" w:color="auto" w:fill="auto"/>
            <w:vAlign w:val="bottom"/>
          </w:tcPr>
          <w:p w14:paraId="3B22AB7B" w14:textId="638B934B" w:rsidR="00A74A71" w:rsidRPr="0079218D" w:rsidRDefault="00A74A71" w:rsidP="007F4CE5">
            <w:pPr>
              <w:jc w:val="center"/>
              <w:rPr>
                <w:rFonts w:cstheme="minorHAnsi"/>
                <w:sz w:val="20"/>
                <w:szCs w:val="20"/>
              </w:rPr>
            </w:pPr>
            <w:r>
              <w:rPr>
                <w:rFonts w:cstheme="minorHAnsi"/>
                <w:sz w:val="20"/>
                <w:szCs w:val="20"/>
              </w:rPr>
              <w:t>$238,000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795D8BBA" w14:textId="0EF84BE7"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108E6CC4" w14:textId="14C64719" w:rsidTr="00A74A71">
        <w:trPr>
          <w:trHeight w:val="20"/>
          <w:jc w:val="center"/>
        </w:trPr>
        <w:tc>
          <w:tcPr>
            <w:tcW w:w="2256" w:type="pct"/>
            <w:shd w:val="clear" w:color="auto" w:fill="DDE6E7"/>
          </w:tcPr>
          <w:p w14:paraId="6200697A" w14:textId="77777777" w:rsidR="00A74A71" w:rsidRPr="009C4387" w:rsidRDefault="00A74A71" w:rsidP="007F4CE5">
            <w:pPr>
              <w:rPr>
                <w:sz w:val="20"/>
                <w:szCs w:val="20"/>
              </w:rPr>
            </w:pPr>
            <w:r w:rsidRPr="009C4387">
              <w:rPr>
                <w:sz w:val="20"/>
                <w:szCs w:val="20"/>
              </w:rPr>
              <w:t>Musselshell Co</w:t>
            </w:r>
          </w:p>
        </w:tc>
        <w:tc>
          <w:tcPr>
            <w:tcW w:w="1373" w:type="pct"/>
            <w:tcBorders>
              <w:top w:val="single" w:sz="4" w:space="0" w:color="auto"/>
              <w:left w:val="nil"/>
              <w:bottom w:val="single" w:sz="4" w:space="0" w:color="auto"/>
              <w:right w:val="nil"/>
            </w:tcBorders>
            <w:shd w:val="clear" w:color="auto" w:fill="auto"/>
            <w:vAlign w:val="bottom"/>
          </w:tcPr>
          <w:p w14:paraId="377CBC25" w14:textId="7C9E9A7B"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15A24C8C" w14:textId="66849E7A"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11AB8BBB" w14:textId="0E5F4EC2" w:rsidTr="00A74A71">
        <w:trPr>
          <w:trHeight w:val="20"/>
          <w:jc w:val="center"/>
        </w:trPr>
        <w:tc>
          <w:tcPr>
            <w:tcW w:w="2256" w:type="pct"/>
            <w:shd w:val="clear" w:color="auto" w:fill="DDE6E7"/>
          </w:tcPr>
          <w:p w14:paraId="42EF5CFE" w14:textId="77777777" w:rsidR="00A74A71" w:rsidRPr="009C4387" w:rsidRDefault="00A74A71" w:rsidP="007F4CE5">
            <w:pPr>
              <w:rPr>
                <w:sz w:val="20"/>
                <w:szCs w:val="20"/>
              </w:rPr>
            </w:pPr>
            <w:r w:rsidRPr="009C4387">
              <w:rPr>
                <w:sz w:val="20"/>
                <w:szCs w:val="20"/>
              </w:rPr>
              <w:t>Park Co</w:t>
            </w:r>
          </w:p>
        </w:tc>
        <w:tc>
          <w:tcPr>
            <w:tcW w:w="1373" w:type="pct"/>
            <w:tcBorders>
              <w:top w:val="single" w:sz="4" w:space="0" w:color="auto"/>
              <w:left w:val="nil"/>
              <w:bottom w:val="single" w:sz="4" w:space="0" w:color="auto"/>
              <w:right w:val="nil"/>
            </w:tcBorders>
            <w:shd w:val="clear" w:color="auto" w:fill="auto"/>
            <w:vAlign w:val="bottom"/>
          </w:tcPr>
          <w:p w14:paraId="13E25279" w14:textId="66B10045" w:rsidR="00A74A71" w:rsidRPr="0079218D" w:rsidRDefault="00A74A71" w:rsidP="007F4CE5">
            <w:pPr>
              <w:jc w:val="center"/>
              <w:rPr>
                <w:rFonts w:cstheme="minorHAnsi"/>
                <w:sz w:val="20"/>
                <w:szCs w:val="20"/>
              </w:rPr>
            </w:pPr>
            <w:r>
              <w:rPr>
                <w:rFonts w:cstheme="minorHAnsi"/>
                <w:sz w:val="20"/>
                <w:szCs w:val="20"/>
              </w:rPr>
              <w:t>$356,000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795D2F48" w14:textId="08C0AC0E"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69DD67EF" w14:textId="06EBCFF3" w:rsidTr="00A74A71">
        <w:trPr>
          <w:trHeight w:val="20"/>
          <w:jc w:val="center"/>
        </w:trPr>
        <w:tc>
          <w:tcPr>
            <w:tcW w:w="2256" w:type="pct"/>
            <w:shd w:val="clear" w:color="auto" w:fill="DDE6E7"/>
          </w:tcPr>
          <w:p w14:paraId="7D1C3C4D" w14:textId="77777777" w:rsidR="00A74A71" w:rsidRPr="009C4387" w:rsidRDefault="00A74A71" w:rsidP="007F4CE5">
            <w:pPr>
              <w:rPr>
                <w:sz w:val="20"/>
                <w:szCs w:val="20"/>
              </w:rPr>
            </w:pPr>
            <w:r w:rsidRPr="009C4387">
              <w:rPr>
                <w:sz w:val="20"/>
                <w:szCs w:val="20"/>
              </w:rPr>
              <w:t>Petroleum Co</w:t>
            </w:r>
          </w:p>
        </w:tc>
        <w:tc>
          <w:tcPr>
            <w:tcW w:w="1373" w:type="pct"/>
            <w:tcBorders>
              <w:top w:val="single" w:sz="4" w:space="0" w:color="auto"/>
              <w:left w:val="nil"/>
              <w:bottom w:val="single" w:sz="4" w:space="0" w:color="auto"/>
              <w:right w:val="nil"/>
            </w:tcBorders>
            <w:shd w:val="clear" w:color="auto" w:fill="auto"/>
            <w:vAlign w:val="bottom"/>
          </w:tcPr>
          <w:p w14:paraId="6D7E10B7" w14:textId="2F64351A"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1F955B3F" w14:textId="6295409E"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2EC33AFB" w14:textId="3FDA3BAE" w:rsidTr="00A74A71">
        <w:trPr>
          <w:trHeight w:val="20"/>
          <w:jc w:val="center"/>
        </w:trPr>
        <w:tc>
          <w:tcPr>
            <w:tcW w:w="2256" w:type="pct"/>
            <w:shd w:val="clear" w:color="auto" w:fill="DDE6E7"/>
          </w:tcPr>
          <w:p w14:paraId="6DE92E89" w14:textId="77777777" w:rsidR="00A74A71" w:rsidRPr="009C4387" w:rsidRDefault="00A74A71" w:rsidP="007F4CE5">
            <w:pPr>
              <w:rPr>
                <w:sz w:val="20"/>
                <w:szCs w:val="20"/>
              </w:rPr>
            </w:pPr>
            <w:r w:rsidRPr="009C4387">
              <w:rPr>
                <w:sz w:val="20"/>
                <w:szCs w:val="20"/>
              </w:rPr>
              <w:t>Phillips Co</w:t>
            </w:r>
          </w:p>
        </w:tc>
        <w:tc>
          <w:tcPr>
            <w:tcW w:w="1373" w:type="pct"/>
            <w:tcBorders>
              <w:top w:val="single" w:sz="4" w:space="0" w:color="auto"/>
              <w:left w:val="nil"/>
              <w:bottom w:val="single" w:sz="4" w:space="0" w:color="auto"/>
              <w:right w:val="nil"/>
            </w:tcBorders>
            <w:shd w:val="clear" w:color="auto" w:fill="auto"/>
            <w:vAlign w:val="bottom"/>
          </w:tcPr>
          <w:p w14:paraId="6E088C9A" w14:textId="3255FEB6"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32305A1A" w14:textId="12DCDBB2"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43DF32A2" w14:textId="03FD73C3" w:rsidTr="00A74A71">
        <w:trPr>
          <w:trHeight w:val="20"/>
          <w:jc w:val="center"/>
        </w:trPr>
        <w:tc>
          <w:tcPr>
            <w:tcW w:w="2256" w:type="pct"/>
            <w:shd w:val="clear" w:color="auto" w:fill="DDE6E7"/>
          </w:tcPr>
          <w:p w14:paraId="12BA86C7" w14:textId="77777777" w:rsidR="00A74A71" w:rsidRPr="009C4387" w:rsidRDefault="00A74A71" w:rsidP="007F4CE5">
            <w:pPr>
              <w:rPr>
                <w:sz w:val="20"/>
                <w:szCs w:val="20"/>
              </w:rPr>
            </w:pPr>
            <w:r w:rsidRPr="009C4387">
              <w:rPr>
                <w:sz w:val="20"/>
                <w:szCs w:val="20"/>
              </w:rPr>
              <w:t>Pondera Co</w:t>
            </w:r>
          </w:p>
        </w:tc>
        <w:tc>
          <w:tcPr>
            <w:tcW w:w="1373" w:type="pct"/>
            <w:tcBorders>
              <w:top w:val="single" w:sz="4" w:space="0" w:color="auto"/>
              <w:left w:val="nil"/>
              <w:bottom w:val="single" w:sz="4" w:space="0" w:color="auto"/>
              <w:right w:val="nil"/>
            </w:tcBorders>
            <w:shd w:val="clear" w:color="auto" w:fill="auto"/>
            <w:vAlign w:val="bottom"/>
          </w:tcPr>
          <w:p w14:paraId="76ED7984" w14:textId="281964E9"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2D4EAAED" w14:textId="3DE4FD87"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20B00135" w14:textId="3E000A95" w:rsidTr="00A74A71">
        <w:trPr>
          <w:trHeight w:val="20"/>
          <w:jc w:val="center"/>
        </w:trPr>
        <w:tc>
          <w:tcPr>
            <w:tcW w:w="2256" w:type="pct"/>
            <w:shd w:val="clear" w:color="auto" w:fill="DDE6E7"/>
          </w:tcPr>
          <w:p w14:paraId="64A65986" w14:textId="77777777" w:rsidR="00A74A71" w:rsidRPr="009C4387" w:rsidRDefault="00A74A71" w:rsidP="007F4CE5">
            <w:pPr>
              <w:rPr>
                <w:sz w:val="20"/>
                <w:szCs w:val="20"/>
              </w:rPr>
            </w:pPr>
            <w:r w:rsidRPr="009C4387">
              <w:rPr>
                <w:sz w:val="20"/>
                <w:szCs w:val="20"/>
              </w:rPr>
              <w:t xml:space="preserve">Powder River Co </w:t>
            </w:r>
          </w:p>
        </w:tc>
        <w:tc>
          <w:tcPr>
            <w:tcW w:w="1373" w:type="pct"/>
            <w:tcBorders>
              <w:top w:val="single" w:sz="4" w:space="0" w:color="auto"/>
              <w:left w:val="nil"/>
              <w:bottom w:val="single" w:sz="4" w:space="0" w:color="auto"/>
              <w:right w:val="nil"/>
            </w:tcBorders>
            <w:shd w:val="clear" w:color="auto" w:fill="auto"/>
            <w:vAlign w:val="bottom"/>
          </w:tcPr>
          <w:p w14:paraId="4C74A4DD" w14:textId="7140FB7C"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22A2D0B8" w14:textId="14DEF0EC"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2C40ABB4" w14:textId="5B2DED79" w:rsidTr="00A74A71">
        <w:trPr>
          <w:trHeight w:val="20"/>
          <w:jc w:val="center"/>
        </w:trPr>
        <w:tc>
          <w:tcPr>
            <w:tcW w:w="2256" w:type="pct"/>
            <w:shd w:val="clear" w:color="auto" w:fill="DDE6E7"/>
          </w:tcPr>
          <w:p w14:paraId="1B2B1344" w14:textId="77777777" w:rsidR="00A74A71" w:rsidRPr="009C4387" w:rsidRDefault="00A74A71" w:rsidP="007F4CE5">
            <w:pPr>
              <w:rPr>
                <w:sz w:val="20"/>
                <w:szCs w:val="20"/>
              </w:rPr>
            </w:pPr>
            <w:r w:rsidRPr="009C4387">
              <w:rPr>
                <w:sz w:val="20"/>
                <w:szCs w:val="20"/>
              </w:rPr>
              <w:t>Powell Co</w:t>
            </w:r>
          </w:p>
        </w:tc>
        <w:tc>
          <w:tcPr>
            <w:tcW w:w="1373" w:type="pct"/>
            <w:tcBorders>
              <w:top w:val="single" w:sz="4" w:space="0" w:color="auto"/>
              <w:left w:val="nil"/>
              <w:bottom w:val="single" w:sz="4" w:space="0" w:color="auto"/>
              <w:right w:val="nil"/>
            </w:tcBorders>
            <w:shd w:val="clear" w:color="auto" w:fill="auto"/>
            <w:vAlign w:val="bottom"/>
          </w:tcPr>
          <w:p w14:paraId="4DBC1F1E" w14:textId="64FCB0C4"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0BFC1181" w14:textId="47CD4F26"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46D416D4" w14:textId="60382D78" w:rsidTr="00A74A71">
        <w:trPr>
          <w:trHeight w:val="20"/>
          <w:jc w:val="center"/>
        </w:trPr>
        <w:tc>
          <w:tcPr>
            <w:tcW w:w="2256" w:type="pct"/>
            <w:shd w:val="clear" w:color="auto" w:fill="DDE6E7"/>
          </w:tcPr>
          <w:p w14:paraId="4807D1B6" w14:textId="77777777" w:rsidR="00A74A71" w:rsidRPr="009C4387" w:rsidRDefault="00A74A71" w:rsidP="007F4CE5">
            <w:pPr>
              <w:rPr>
                <w:sz w:val="20"/>
                <w:szCs w:val="20"/>
              </w:rPr>
            </w:pPr>
            <w:r w:rsidRPr="009C4387">
              <w:rPr>
                <w:sz w:val="20"/>
                <w:szCs w:val="20"/>
              </w:rPr>
              <w:t>Prairie Co</w:t>
            </w:r>
          </w:p>
        </w:tc>
        <w:tc>
          <w:tcPr>
            <w:tcW w:w="1373" w:type="pct"/>
            <w:tcBorders>
              <w:top w:val="single" w:sz="4" w:space="0" w:color="auto"/>
              <w:left w:val="nil"/>
              <w:bottom w:val="single" w:sz="4" w:space="0" w:color="auto"/>
              <w:right w:val="nil"/>
            </w:tcBorders>
            <w:shd w:val="clear" w:color="auto" w:fill="auto"/>
            <w:vAlign w:val="bottom"/>
          </w:tcPr>
          <w:p w14:paraId="0F17DF1B" w14:textId="4D163E9F"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663549DB" w14:textId="2A622E3C"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0CE4EFFE" w14:textId="255F3AAA" w:rsidTr="00A74A71">
        <w:trPr>
          <w:trHeight w:val="20"/>
          <w:jc w:val="center"/>
        </w:trPr>
        <w:tc>
          <w:tcPr>
            <w:tcW w:w="2256" w:type="pct"/>
            <w:shd w:val="clear" w:color="auto" w:fill="DDE6E7"/>
          </w:tcPr>
          <w:p w14:paraId="517C8F97" w14:textId="77777777" w:rsidR="00A74A71" w:rsidRPr="009C4387" w:rsidRDefault="00A74A71" w:rsidP="007F4CE5">
            <w:pPr>
              <w:rPr>
                <w:sz w:val="20"/>
                <w:szCs w:val="20"/>
              </w:rPr>
            </w:pPr>
            <w:r w:rsidRPr="009C4387">
              <w:rPr>
                <w:sz w:val="20"/>
                <w:szCs w:val="20"/>
              </w:rPr>
              <w:t>Ravalli Co</w:t>
            </w:r>
          </w:p>
        </w:tc>
        <w:tc>
          <w:tcPr>
            <w:tcW w:w="1373" w:type="pct"/>
            <w:tcBorders>
              <w:top w:val="single" w:sz="4" w:space="0" w:color="auto"/>
              <w:left w:val="nil"/>
              <w:bottom w:val="single" w:sz="4" w:space="0" w:color="auto"/>
              <w:right w:val="nil"/>
            </w:tcBorders>
            <w:shd w:val="clear" w:color="auto" w:fill="auto"/>
            <w:vAlign w:val="bottom"/>
          </w:tcPr>
          <w:p w14:paraId="458C6BD7" w14:textId="1DF1621F" w:rsidR="00A74A71" w:rsidRPr="0079218D" w:rsidRDefault="00A74A71" w:rsidP="007F4CE5">
            <w:pPr>
              <w:jc w:val="center"/>
              <w:rPr>
                <w:rFonts w:cstheme="minorHAnsi"/>
                <w:sz w:val="20"/>
                <w:szCs w:val="20"/>
              </w:rPr>
            </w:pPr>
            <w:r>
              <w:rPr>
                <w:rFonts w:cstheme="minorHAnsi"/>
                <w:sz w:val="20"/>
                <w:szCs w:val="20"/>
              </w:rPr>
              <w:t>$404,000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515A5902" w14:textId="2E6B4DC8" w:rsidR="00A74A71" w:rsidRPr="0079218D" w:rsidRDefault="00A74A71" w:rsidP="007F4CE5">
            <w:pPr>
              <w:jc w:val="center"/>
              <w:rPr>
                <w:rFonts w:cstheme="minorHAnsi"/>
                <w:sz w:val="20"/>
                <w:szCs w:val="20"/>
              </w:rPr>
            </w:pPr>
            <w:r>
              <w:rPr>
                <w:rFonts w:cstheme="minorHAnsi"/>
                <w:sz w:val="20"/>
                <w:szCs w:val="20"/>
              </w:rPr>
              <w:t>$404,000</w:t>
            </w:r>
          </w:p>
        </w:tc>
      </w:tr>
      <w:tr w:rsidR="00A74A71" w:rsidRPr="0079218D" w14:paraId="183A10FC" w14:textId="121585FC" w:rsidTr="00A74A71">
        <w:trPr>
          <w:trHeight w:val="20"/>
          <w:jc w:val="center"/>
        </w:trPr>
        <w:tc>
          <w:tcPr>
            <w:tcW w:w="2256" w:type="pct"/>
            <w:shd w:val="clear" w:color="auto" w:fill="DDE6E7"/>
          </w:tcPr>
          <w:p w14:paraId="45D7922E" w14:textId="77777777" w:rsidR="00A74A71" w:rsidRPr="009C4387" w:rsidRDefault="00A74A71" w:rsidP="007F4CE5">
            <w:pPr>
              <w:rPr>
                <w:sz w:val="20"/>
                <w:szCs w:val="20"/>
              </w:rPr>
            </w:pPr>
            <w:r w:rsidRPr="009C4387">
              <w:rPr>
                <w:sz w:val="20"/>
                <w:szCs w:val="20"/>
              </w:rPr>
              <w:t>Richland Co</w:t>
            </w:r>
          </w:p>
        </w:tc>
        <w:tc>
          <w:tcPr>
            <w:tcW w:w="1373" w:type="pct"/>
            <w:tcBorders>
              <w:top w:val="single" w:sz="4" w:space="0" w:color="auto"/>
              <w:left w:val="nil"/>
              <w:bottom w:val="single" w:sz="4" w:space="0" w:color="auto"/>
              <w:right w:val="nil"/>
            </w:tcBorders>
            <w:shd w:val="clear" w:color="auto" w:fill="auto"/>
            <w:vAlign w:val="bottom"/>
          </w:tcPr>
          <w:p w14:paraId="4641267E" w14:textId="48796BC1" w:rsidR="00A74A71" w:rsidRPr="0079218D" w:rsidRDefault="00A74A71" w:rsidP="007F4CE5">
            <w:pPr>
              <w:jc w:val="center"/>
              <w:rPr>
                <w:rFonts w:cstheme="minorHAnsi"/>
                <w:sz w:val="20"/>
                <w:szCs w:val="20"/>
              </w:rPr>
            </w:pPr>
            <w:r>
              <w:rPr>
                <w:rFonts w:cstheme="minorHAnsi"/>
                <w:sz w:val="20"/>
                <w:szCs w:val="20"/>
              </w:rPr>
              <w:t>$228,000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5EC1C95F" w14:textId="6593CC78"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596896D8" w14:textId="4B571D86" w:rsidTr="00A74A71">
        <w:trPr>
          <w:trHeight w:val="20"/>
          <w:jc w:val="center"/>
        </w:trPr>
        <w:tc>
          <w:tcPr>
            <w:tcW w:w="2256" w:type="pct"/>
            <w:shd w:val="clear" w:color="auto" w:fill="DDE6E7"/>
          </w:tcPr>
          <w:p w14:paraId="06AA4FF1" w14:textId="77777777" w:rsidR="00A74A71" w:rsidRPr="009C4387" w:rsidRDefault="00A74A71" w:rsidP="007F4CE5">
            <w:pPr>
              <w:rPr>
                <w:sz w:val="20"/>
                <w:szCs w:val="20"/>
              </w:rPr>
            </w:pPr>
            <w:r w:rsidRPr="009C4387">
              <w:rPr>
                <w:sz w:val="20"/>
                <w:szCs w:val="20"/>
              </w:rPr>
              <w:lastRenderedPageBreak/>
              <w:t>Roosevelt Co</w:t>
            </w:r>
          </w:p>
        </w:tc>
        <w:tc>
          <w:tcPr>
            <w:tcW w:w="1373" w:type="pct"/>
            <w:tcBorders>
              <w:top w:val="single" w:sz="4" w:space="0" w:color="auto"/>
              <w:left w:val="nil"/>
              <w:bottom w:val="single" w:sz="4" w:space="0" w:color="auto"/>
              <w:right w:val="nil"/>
            </w:tcBorders>
            <w:shd w:val="clear" w:color="auto" w:fill="auto"/>
            <w:vAlign w:val="bottom"/>
          </w:tcPr>
          <w:p w14:paraId="4623CEE8" w14:textId="7527AEC4"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6814799D" w14:textId="7217F720"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4F1C3CBF" w14:textId="748A775D" w:rsidTr="00A74A71">
        <w:trPr>
          <w:trHeight w:val="20"/>
          <w:jc w:val="center"/>
        </w:trPr>
        <w:tc>
          <w:tcPr>
            <w:tcW w:w="2256" w:type="pct"/>
            <w:shd w:val="clear" w:color="auto" w:fill="DDE6E7"/>
          </w:tcPr>
          <w:p w14:paraId="1C6FD182" w14:textId="77777777" w:rsidR="00A74A71" w:rsidRPr="009C4387" w:rsidRDefault="00A74A71" w:rsidP="007F4CE5">
            <w:pPr>
              <w:rPr>
                <w:sz w:val="20"/>
                <w:szCs w:val="20"/>
              </w:rPr>
            </w:pPr>
            <w:r w:rsidRPr="009C4387">
              <w:rPr>
                <w:sz w:val="20"/>
                <w:szCs w:val="20"/>
              </w:rPr>
              <w:t xml:space="preserve">Rosebud Co </w:t>
            </w:r>
          </w:p>
        </w:tc>
        <w:tc>
          <w:tcPr>
            <w:tcW w:w="1373" w:type="pct"/>
            <w:tcBorders>
              <w:top w:val="single" w:sz="4" w:space="0" w:color="auto"/>
              <w:left w:val="nil"/>
              <w:bottom w:val="single" w:sz="4" w:space="0" w:color="auto"/>
              <w:right w:val="nil"/>
            </w:tcBorders>
            <w:shd w:val="clear" w:color="auto" w:fill="auto"/>
            <w:vAlign w:val="bottom"/>
          </w:tcPr>
          <w:p w14:paraId="4199E8B3" w14:textId="0E688560"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7F122A3C" w14:textId="1C70772B"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6616B5F9" w14:textId="76EB3EF2" w:rsidTr="00A74A71">
        <w:trPr>
          <w:trHeight w:val="20"/>
          <w:jc w:val="center"/>
        </w:trPr>
        <w:tc>
          <w:tcPr>
            <w:tcW w:w="2256" w:type="pct"/>
            <w:shd w:val="clear" w:color="auto" w:fill="DDE6E7"/>
          </w:tcPr>
          <w:p w14:paraId="09535125" w14:textId="77777777" w:rsidR="00A74A71" w:rsidRPr="009C4387" w:rsidRDefault="00A74A71" w:rsidP="007F4CE5">
            <w:pPr>
              <w:rPr>
                <w:sz w:val="20"/>
                <w:szCs w:val="20"/>
              </w:rPr>
            </w:pPr>
            <w:r w:rsidRPr="009C4387">
              <w:rPr>
                <w:sz w:val="20"/>
                <w:szCs w:val="20"/>
              </w:rPr>
              <w:t>Sanders Co</w:t>
            </w:r>
          </w:p>
        </w:tc>
        <w:tc>
          <w:tcPr>
            <w:tcW w:w="1373" w:type="pct"/>
            <w:tcBorders>
              <w:top w:val="single" w:sz="4" w:space="0" w:color="auto"/>
              <w:left w:val="nil"/>
              <w:bottom w:val="single" w:sz="4" w:space="0" w:color="auto"/>
              <w:right w:val="nil"/>
            </w:tcBorders>
            <w:shd w:val="clear" w:color="auto" w:fill="auto"/>
            <w:vAlign w:val="bottom"/>
          </w:tcPr>
          <w:p w14:paraId="1555E4CC" w14:textId="32700F18" w:rsidR="00A74A71" w:rsidRPr="0079218D" w:rsidRDefault="00A74A71" w:rsidP="007F4CE5">
            <w:pPr>
              <w:jc w:val="center"/>
              <w:rPr>
                <w:rFonts w:cstheme="minorHAnsi"/>
                <w:sz w:val="20"/>
                <w:szCs w:val="20"/>
              </w:rPr>
            </w:pPr>
            <w:r>
              <w:rPr>
                <w:rFonts w:cstheme="minorHAnsi"/>
                <w:sz w:val="20"/>
                <w:szCs w:val="20"/>
              </w:rPr>
              <w:t>$261,000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39DAD38F" w14:textId="21987FDE"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55DE27F0" w14:textId="1AF2E25A" w:rsidTr="00A74A71">
        <w:trPr>
          <w:trHeight w:val="20"/>
          <w:jc w:val="center"/>
        </w:trPr>
        <w:tc>
          <w:tcPr>
            <w:tcW w:w="2256" w:type="pct"/>
            <w:shd w:val="clear" w:color="auto" w:fill="DDE6E7"/>
          </w:tcPr>
          <w:p w14:paraId="104FECB9" w14:textId="77777777" w:rsidR="00A74A71" w:rsidRPr="009C4387" w:rsidRDefault="00A74A71" w:rsidP="007F4CE5">
            <w:pPr>
              <w:rPr>
                <w:sz w:val="20"/>
                <w:szCs w:val="20"/>
              </w:rPr>
            </w:pPr>
            <w:r w:rsidRPr="009C4387">
              <w:rPr>
                <w:sz w:val="20"/>
                <w:szCs w:val="20"/>
              </w:rPr>
              <w:t xml:space="preserve">Sheridan Co </w:t>
            </w:r>
          </w:p>
        </w:tc>
        <w:tc>
          <w:tcPr>
            <w:tcW w:w="1373" w:type="pct"/>
            <w:tcBorders>
              <w:top w:val="single" w:sz="4" w:space="0" w:color="auto"/>
              <w:left w:val="nil"/>
              <w:bottom w:val="single" w:sz="4" w:space="0" w:color="auto"/>
              <w:right w:val="nil"/>
            </w:tcBorders>
            <w:shd w:val="clear" w:color="auto" w:fill="auto"/>
            <w:vAlign w:val="bottom"/>
          </w:tcPr>
          <w:p w14:paraId="2FD41383" w14:textId="0FFFE064"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72E26285" w14:textId="726E39EB"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3E44C42E" w14:textId="71EA819F" w:rsidTr="00A74A71">
        <w:trPr>
          <w:trHeight w:val="20"/>
          <w:jc w:val="center"/>
        </w:trPr>
        <w:tc>
          <w:tcPr>
            <w:tcW w:w="2256" w:type="pct"/>
            <w:shd w:val="clear" w:color="auto" w:fill="DDE6E7"/>
          </w:tcPr>
          <w:p w14:paraId="46AEF7C1" w14:textId="77777777" w:rsidR="00A74A71" w:rsidRPr="009C4387" w:rsidRDefault="00A74A71" w:rsidP="007F4CE5">
            <w:pPr>
              <w:rPr>
                <w:sz w:val="20"/>
                <w:szCs w:val="20"/>
              </w:rPr>
            </w:pPr>
            <w:r w:rsidRPr="009C4387">
              <w:rPr>
                <w:sz w:val="20"/>
                <w:szCs w:val="20"/>
              </w:rPr>
              <w:t>Silver Bow Co</w:t>
            </w:r>
          </w:p>
        </w:tc>
        <w:tc>
          <w:tcPr>
            <w:tcW w:w="1373" w:type="pct"/>
            <w:tcBorders>
              <w:top w:val="single" w:sz="4" w:space="0" w:color="auto"/>
              <w:left w:val="nil"/>
              <w:bottom w:val="single" w:sz="4" w:space="0" w:color="auto"/>
              <w:right w:val="nil"/>
            </w:tcBorders>
            <w:shd w:val="clear" w:color="auto" w:fill="auto"/>
            <w:vAlign w:val="bottom"/>
          </w:tcPr>
          <w:p w14:paraId="151A831C" w14:textId="7657DB4E" w:rsidR="00A74A71" w:rsidRPr="0079218D" w:rsidRDefault="00A74A71" w:rsidP="007F4CE5">
            <w:pPr>
              <w:jc w:val="center"/>
              <w:rPr>
                <w:rFonts w:cstheme="minorHAnsi"/>
                <w:sz w:val="20"/>
                <w:szCs w:val="20"/>
              </w:rPr>
            </w:pPr>
            <w:r>
              <w:rPr>
                <w:rFonts w:cstheme="minorHAnsi"/>
                <w:sz w:val="20"/>
                <w:szCs w:val="20"/>
              </w:rPr>
              <w:t>$219,000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4C7BB3F6" w14:textId="09B0D726"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1216623D" w14:textId="40B3C04E" w:rsidTr="00A74A71">
        <w:trPr>
          <w:trHeight w:val="20"/>
          <w:jc w:val="center"/>
        </w:trPr>
        <w:tc>
          <w:tcPr>
            <w:tcW w:w="2256" w:type="pct"/>
            <w:shd w:val="clear" w:color="auto" w:fill="DDE6E7"/>
          </w:tcPr>
          <w:p w14:paraId="6F26ED61" w14:textId="77777777" w:rsidR="00A74A71" w:rsidRPr="009C4387" w:rsidRDefault="00A74A71" w:rsidP="007F4CE5">
            <w:pPr>
              <w:rPr>
                <w:sz w:val="20"/>
                <w:szCs w:val="20"/>
              </w:rPr>
            </w:pPr>
            <w:r w:rsidRPr="009C4387">
              <w:rPr>
                <w:sz w:val="20"/>
                <w:szCs w:val="20"/>
              </w:rPr>
              <w:t>Stillwater Co</w:t>
            </w:r>
          </w:p>
        </w:tc>
        <w:tc>
          <w:tcPr>
            <w:tcW w:w="1373" w:type="pct"/>
            <w:tcBorders>
              <w:top w:val="single" w:sz="4" w:space="0" w:color="auto"/>
              <w:left w:val="nil"/>
              <w:bottom w:val="single" w:sz="4" w:space="0" w:color="auto"/>
              <w:right w:val="nil"/>
            </w:tcBorders>
            <w:shd w:val="clear" w:color="auto" w:fill="auto"/>
            <w:vAlign w:val="bottom"/>
          </w:tcPr>
          <w:p w14:paraId="5521EEB7" w14:textId="0CC04DB4" w:rsidR="00A74A71" w:rsidRPr="0079218D" w:rsidRDefault="00A74A71" w:rsidP="007F4CE5">
            <w:pPr>
              <w:jc w:val="center"/>
              <w:rPr>
                <w:rFonts w:cstheme="minorHAnsi"/>
                <w:sz w:val="20"/>
                <w:szCs w:val="20"/>
              </w:rPr>
            </w:pPr>
            <w:r>
              <w:rPr>
                <w:rFonts w:cstheme="minorHAnsi"/>
                <w:sz w:val="20"/>
                <w:szCs w:val="20"/>
              </w:rPr>
              <w:t>$266,000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4AE5454E" w14:textId="603A7A22"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65ADFCED" w14:textId="58A09A6D" w:rsidTr="00A74A71">
        <w:trPr>
          <w:trHeight w:val="20"/>
          <w:jc w:val="center"/>
        </w:trPr>
        <w:tc>
          <w:tcPr>
            <w:tcW w:w="2256" w:type="pct"/>
            <w:shd w:val="clear" w:color="auto" w:fill="DDE6E7"/>
          </w:tcPr>
          <w:p w14:paraId="7FC36C3D" w14:textId="77777777" w:rsidR="00A74A71" w:rsidRPr="009C4387" w:rsidRDefault="00A74A71" w:rsidP="007F4CE5">
            <w:pPr>
              <w:rPr>
                <w:sz w:val="20"/>
                <w:szCs w:val="20"/>
              </w:rPr>
            </w:pPr>
            <w:r w:rsidRPr="009C4387">
              <w:rPr>
                <w:sz w:val="20"/>
                <w:szCs w:val="20"/>
              </w:rPr>
              <w:t xml:space="preserve">Sweet Grass Co </w:t>
            </w:r>
          </w:p>
        </w:tc>
        <w:tc>
          <w:tcPr>
            <w:tcW w:w="1373" w:type="pct"/>
            <w:tcBorders>
              <w:top w:val="single" w:sz="4" w:space="0" w:color="auto"/>
              <w:left w:val="nil"/>
              <w:bottom w:val="single" w:sz="4" w:space="0" w:color="auto"/>
              <w:right w:val="nil"/>
            </w:tcBorders>
            <w:shd w:val="clear" w:color="auto" w:fill="auto"/>
            <w:vAlign w:val="bottom"/>
          </w:tcPr>
          <w:p w14:paraId="6B4452C4" w14:textId="4E5D947C" w:rsidR="00A74A71" w:rsidRPr="0079218D" w:rsidRDefault="00A74A71" w:rsidP="007F4CE5">
            <w:pPr>
              <w:jc w:val="center"/>
              <w:rPr>
                <w:rFonts w:cstheme="minorHAnsi"/>
                <w:sz w:val="20"/>
                <w:szCs w:val="20"/>
              </w:rPr>
            </w:pPr>
            <w:r>
              <w:rPr>
                <w:rFonts w:cstheme="minorHAnsi"/>
                <w:sz w:val="20"/>
                <w:szCs w:val="20"/>
              </w:rPr>
              <w:t>$211,000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24512051" w14:textId="3E6C666F"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05EDB035" w14:textId="5751794C" w:rsidTr="00A74A71">
        <w:trPr>
          <w:trHeight w:val="20"/>
          <w:jc w:val="center"/>
        </w:trPr>
        <w:tc>
          <w:tcPr>
            <w:tcW w:w="2256" w:type="pct"/>
            <w:shd w:val="clear" w:color="auto" w:fill="DDE6E7"/>
          </w:tcPr>
          <w:p w14:paraId="5ECCEAFC" w14:textId="77777777" w:rsidR="00A74A71" w:rsidRPr="009C4387" w:rsidRDefault="00A74A71" w:rsidP="007F4CE5">
            <w:pPr>
              <w:rPr>
                <w:sz w:val="20"/>
                <w:szCs w:val="20"/>
              </w:rPr>
            </w:pPr>
            <w:r w:rsidRPr="009C4387">
              <w:rPr>
                <w:sz w:val="20"/>
                <w:szCs w:val="20"/>
              </w:rPr>
              <w:t>Teton Co</w:t>
            </w:r>
          </w:p>
        </w:tc>
        <w:tc>
          <w:tcPr>
            <w:tcW w:w="1373" w:type="pct"/>
            <w:tcBorders>
              <w:top w:val="single" w:sz="4" w:space="0" w:color="auto"/>
              <w:left w:val="nil"/>
              <w:bottom w:val="single" w:sz="4" w:space="0" w:color="auto"/>
              <w:right w:val="nil"/>
            </w:tcBorders>
            <w:shd w:val="clear" w:color="auto" w:fill="auto"/>
            <w:vAlign w:val="bottom"/>
          </w:tcPr>
          <w:p w14:paraId="19A419B9" w14:textId="77163B20"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6BA74973" w14:textId="5FA2825E"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666CBA62" w14:textId="0BB9AFC0" w:rsidTr="00A74A71">
        <w:trPr>
          <w:trHeight w:val="20"/>
          <w:jc w:val="center"/>
        </w:trPr>
        <w:tc>
          <w:tcPr>
            <w:tcW w:w="2256" w:type="pct"/>
            <w:shd w:val="clear" w:color="auto" w:fill="DDE6E7"/>
          </w:tcPr>
          <w:p w14:paraId="0A8D82AD" w14:textId="77777777" w:rsidR="00A74A71" w:rsidRPr="009C4387" w:rsidRDefault="00A74A71" w:rsidP="007F4CE5">
            <w:pPr>
              <w:rPr>
                <w:sz w:val="20"/>
                <w:szCs w:val="20"/>
              </w:rPr>
            </w:pPr>
            <w:r w:rsidRPr="009C4387">
              <w:rPr>
                <w:sz w:val="20"/>
                <w:szCs w:val="20"/>
              </w:rPr>
              <w:t xml:space="preserve">Toole Co </w:t>
            </w:r>
          </w:p>
        </w:tc>
        <w:tc>
          <w:tcPr>
            <w:tcW w:w="1373" w:type="pct"/>
            <w:tcBorders>
              <w:top w:val="single" w:sz="4" w:space="0" w:color="auto"/>
              <w:left w:val="nil"/>
              <w:bottom w:val="single" w:sz="4" w:space="0" w:color="auto"/>
              <w:right w:val="nil"/>
            </w:tcBorders>
            <w:shd w:val="clear" w:color="auto" w:fill="auto"/>
            <w:vAlign w:val="bottom"/>
          </w:tcPr>
          <w:p w14:paraId="68E5BFD6" w14:textId="2AE731EA"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6D980CAC" w14:textId="78704C60"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12835B3A" w14:textId="7D2B1DF6" w:rsidTr="00A74A71">
        <w:trPr>
          <w:trHeight w:val="20"/>
          <w:jc w:val="center"/>
        </w:trPr>
        <w:tc>
          <w:tcPr>
            <w:tcW w:w="2256" w:type="pct"/>
            <w:shd w:val="clear" w:color="auto" w:fill="DDE6E7"/>
          </w:tcPr>
          <w:p w14:paraId="74373883" w14:textId="77777777" w:rsidR="00A74A71" w:rsidRPr="009C4387" w:rsidRDefault="00A74A71" w:rsidP="007F4CE5">
            <w:pPr>
              <w:rPr>
                <w:sz w:val="20"/>
                <w:szCs w:val="20"/>
              </w:rPr>
            </w:pPr>
            <w:r w:rsidRPr="009C4387">
              <w:rPr>
                <w:sz w:val="20"/>
                <w:szCs w:val="20"/>
              </w:rPr>
              <w:t xml:space="preserve">Treasure Co </w:t>
            </w:r>
          </w:p>
        </w:tc>
        <w:tc>
          <w:tcPr>
            <w:tcW w:w="1373" w:type="pct"/>
            <w:tcBorders>
              <w:top w:val="single" w:sz="4" w:space="0" w:color="auto"/>
              <w:left w:val="nil"/>
              <w:bottom w:val="single" w:sz="4" w:space="0" w:color="auto"/>
              <w:right w:val="nil"/>
            </w:tcBorders>
            <w:shd w:val="clear" w:color="auto" w:fill="auto"/>
            <w:vAlign w:val="bottom"/>
          </w:tcPr>
          <w:p w14:paraId="2684D933" w14:textId="02729815"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7A2973C1" w14:textId="072F053A"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09FBE8A8" w14:textId="234AAA07" w:rsidTr="00A74A71">
        <w:trPr>
          <w:trHeight w:val="20"/>
          <w:jc w:val="center"/>
        </w:trPr>
        <w:tc>
          <w:tcPr>
            <w:tcW w:w="2256" w:type="pct"/>
            <w:shd w:val="clear" w:color="auto" w:fill="DDE6E7"/>
          </w:tcPr>
          <w:p w14:paraId="544F6BE7" w14:textId="77777777" w:rsidR="00A74A71" w:rsidRPr="009C4387" w:rsidRDefault="00A74A71" w:rsidP="007F4CE5">
            <w:pPr>
              <w:rPr>
                <w:sz w:val="20"/>
                <w:szCs w:val="20"/>
              </w:rPr>
            </w:pPr>
            <w:r w:rsidRPr="009C4387">
              <w:rPr>
                <w:sz w:val="20"/>
                <w:szCs w:val="20"/>
              </w:rPr>
              <w:t xml:space="preserve">Valley Co </w:t>
            </w:r>
          </w:p>
        </w:tc>
        <w:tc>
          <w:tcPr>
            <w:tcW w:w="1373" w:type="pct"/>
            <w:tcBorders>
              <w:top w:val="single" w:sz="4" w:space="0" w:color="auto"/>
              <w:left w:val="nil"/>
              <w:bottom w:val="single" w:sz="4" w:space="0" w:color="auto"/>
              <w:right w:val="nil"/>
            </w:tcBorders>
            <w:shd w:val="clear" w:color="auto" w:fill="auto"/>
            <w:vAlign w:val="bottom"/>
          </w:tcPr>
          <w:p w14:paraId="33D884F0" w14:textId="01410858"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02698C37" w14:textId="31E82969"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12DDF5BD" w14:textId="2634B9E7" w:rsidTr="00A74A71">
        <w:trPr>
          <w:trHeight w:val="20"/>
          <w:jc w:val="center"/>
        </w:trPr>
        <w:tc>
          <w:tcPr>
            <w:tcW w:w="2256" w:type="pct"/>
            <w:tcBorders>
              <w:bottom w:val="single" w:sz="4" w:space="0" w:color="auto"/>
            </w:tcBorders>
            <w:shd w:val="clear" w:color="auto" w:fill="DDE6E7"/>
          </w:tcPr>
          <w:p w14:paraId="2019285C" w14:textId="77777777" w:rsidR="00A74A71" w:rsidRPr="009C4387" w:rsidRDefault="00A74A71" w:rsidP="007F4CE5">
            <w:pPr>
              <w:rPr>
                <w:sz w:val="20"/>
                <w:szCs w:val="20"/>
              </w:rPr>
            </w:pPr>
            <w:r w:rsidRPr="009C4387">
              <w:rPr>
                <w:sz w:val="20"/>
                <w:szCs w:val="20"/>
              </w:rPr>
              <w:t xml:space="preserve">Wheatland Co </w:t>
            </w:r>
          </w:p>
        </w:tc>
        <w:tc>
          <w:tcPr>
            <w:tcW w:w="1373" w:type="pct"/>
            <w:tcBorders>
              <w:top w:val="single" w:sz="4" w:space="0" w:color="auto"/>
              <w:left w:val="nil"/>
              <w:bottom w:val="single" w:sz="4" w:space="0" w:color="auto"/>
              <w:right w:val="nil"/>
            </w:tcBorders>
            <w:shd w:val="clear" w:color="auto" w:fill="auto"/>
            <w:vAlign w:val="bottom"/>
          </w:tcPr>
          <w:p w14:paraId="4191B9C3" w14:textId="36E9B99D"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4FCC94EE" w14:textId="3289627C" w:rsidR="00A74A71" w:rsidRPr="0079218D" w:rsidRDefault="00A74A71" w:rsidP="007F4CE5">
            <w:pPr>
              <w:jc w:val="center"/>
              <w:rPr>
                <w:rFonts w:cstheme="minorHAnsi"/>
                <w:sz w:val="20"/>
                <w:szCs w:val="20"/>
              </w:rPr>
            </w:pPr>
            <w:r>
              <w:rPr>
                <w:rFonts w:cstheme="minorHAnsi"/>
                <w:sz w:val="20"/>
                <w:szCs w:val="20"/>
              </w:rPr>
              <w:t>$361,000</w:t>
            </w:r>
          </w:p>
        </w:tc>
      </w:tr>
      <w:tr w:rsidR="00A74A71" w:rsidRPr="0079218D" w14:paraId="348A41FF" w14:textId="767A6046" w:rsidTr="00A74A71">
        <w:trPr>
          <w:trHeight w:val="269"/>
          <w:jc w:val="center"/>
        </w:trPr>
        <w:tc>
          <w:tcPr>
            <w:tcW w:w="2256" w:type="pct"/>
            <w:tcBorders>
              <w:top w:val="single" w:sz="4" w:space="0" w:color="auto"/>
              <w:bottom w:val="single" w:sz="4" w:space="0" w:color="auto"/>
            </w:tcBorders>
            <w:shd w:val="clear" w:color="auto" w:fill="DDE6E7"/>
          </w:tcPr>
          <w:p w14:paraId="68290E77" w14:textId="77777777" w:rsidR="00A74A71" w:rsidRPr="009C4387" w:rsidRDefault="00A74A71" w:rsidP="007F4CE5">
            <w:pPr>
              <w:rPr>
                <w:sz w:val="20"/>
                <w:szCs w:val="20"/>
              </w:rPr>
            </w:pPr>
            <w:r w:rsidRPr="009C4387">
              <w:rPr>
                <w:sz w:val="20"/>
                <w:szCs w:val="20"/>
              </w:rPr>
              <w:t xml:space="preserve">Wibaux Co </w:t>
            </w:r>
          </w:p>
        </w:tc>
        <w:tc>
          <w:tcPr>
            <w:tcW w:w="1373" w:type="pct"/>
            <w:tcBorders>
              <w:top w:val="single" w:sz="4" w:space="0" w:color="auto"/>
              <w:left w:val="nil"/>
              <w:bottom w:val="single" w:sz="4" w:space="0" w:color="auto"/>
              <w:right w:val="nil"/>
            </w:tcBorders>
            <w:shd w:val="clear" w:color="auto" w:fill="auto"/>
            <w:vAlign w:val="bottom"/>
          </w:tcPr>
          <w:p w14:paraId="52007A07" w14:textId="3F829BDD" w:rsidR="00A74A71" w:rsidRPr="0079218D" w:rsidRDefault="00A74A71" w:rsidP="007F4CE5">
            <w:pPr>
              <w:jc w:val="center"/>
              <w:rPr>
                <w:rFonts w:cstheme="minorHAnsi"/>
                <w:sz w:val="20"/>
                <w:szCs w:val="20"/>
              </w:rPr>
            </w:pPr>
            <w:r>
              <w:rPr>
                <w:rFonts w:cstheme="minorHAnsi"/>
                <w:sz w:val="20"/>
                <w:szCs w:val="20"/>
              </w:rPr>
              <w:t>$209,000</w:t>
            </w:r>
          </w:p>
        </w:tc>
        <w:tc>
          <w:tcPr>
            <w:tcW w:w="1372" w:type="pct"/>
            <w:tcBorders>
              <w:top w:val="single" w:sz="4" w:space="0" w:color="auto"/>
              <w:left w:val="nil"/>
              <w:bottom w:val="single" w:sz="4" w:space="0" w:color="auto"/>
              <w:right w:val="single" w:sz="4" w:space="0" w:color="auto"/>
            </w:tcBorders>
            <w:shd w:val="clear" w:color="auto" w:fill="auto"/>
            <w:vAlign w:val="bottom"/>
          </w:tcPr>
          <w:p w14:paraId="4FCC5A42" w14:textId="5B93F182" w:rsidR="00A74A71" w:rsidRPr="0079218D" w:rsidRDefault="00A74A71" w:rsidP="007F4CE5">
            <w:pPr>
              <w:jc w:val="center"/>
              <w:rPr>
                <w:rFonts w:cstheme="minorHAnsi"/>
                <w:sz w:val="20"/>
                <w:szCs w:val="20"/>
              </w:rPr>
            </w:pPr>
            <w:r>
              <w:rPr>
                <w:rFonts w:cstheme="minorHAnsi"/>
                <w:sz w:val="20"/>
                <w:szCs w:val="20"/>
              </w:rPr>
              <w:t>$361,000</w:t>
            </w:r>
          </w:p>
        </w:tc>
      </w:tr>
    </w:tbl>
    <w:p w14:paraId="6879422E" w14:textId="77777777" w:rsidR="007E5BF0" w:rsidRDefault="007E5BF0" w:rsidP="007E5BF0"/>
    <w:p w14:paraId="0EECD447" w14:textId="3B3964D5" w:rsidR="007E5BF0" w:rsidRDefault="007E5BF0" w:rsidP="007E5BF0">
      <w:r w:rsidRPr="331F13D3">
        <w:rPr>
          <w:rStyle w:val="Heading6Char"/>
        </w:rPr>
        <w:t>Anticipated Outcome Measure:</w:t>
      </w:r>
      <w:r>
        <w:t xml:space="preserve"> 10 homebuyers will be assisted with down payment and closing cost assistance.</w:t>
      </w:r>
    </w:p>
    <w:p w14:paraId="2E985B0C" w14:textId="77777777" w:rsidR="007E5BF0" w:rsidRDefault="007E5BF0" w:rsidP="007E5BF0">
      <w:pPr>
        <w:pBdr>
          <w:bottom w:val="single" w:sz="4" w:space="1" w:color="auto"/>
        </w:pBdr>
      </w:pPr>
    </w:p>
    <w:p w14:paraId="25E99821" w14:textId="77777777" w:rsidR="007E5BF0" w:rsidRDefault="007E5BF0" w:rsidP="007E5BF0"/>
    <w:p w14:paraId="0D7DE962" w14:textId="77777777" w:rsidR="007E5BF0" w:rsidRPr="008C1242" w:rsidRDefault="007E5BF0" w:rsidP="007E5BF0">
      <w:pPr>
        <w:pStyle w:val="Heading4"/>
        <w:rPr>
          <w:u w:val="none"/>
        </w:rPr>
      </w:pPr>
      <w:r w:rsidRPr="008C1242">
        <w:rPr>
          <w:i/>
          <w:iCs w:val="0"/>
          <w:u w:val="none"/>
        </w:rPr>
        <w:t>State Program Name:</w:t>
      </w:r>
      <w:r w:rsidRPr="008C1242">
        <w:rPr>
          <w:u w:val="none"/>
        </w:rPr>
        <w:t xml:space="preserve"> </w:t>
      </w:r>
      <w:r w:rsidRPr="008C1242">
        <w:rPr>
          <w:b/>
          <w:bCs/>
          <w:color w:val="auto"/>
          <w:u w:val="none"/>
        </w:rPr>
        <w:t xml:space="preserve">HOME </w:t>
      </w:r>
      <w:r>
        <w:rPr>
          <w:b/>
          <w:bCs/>
          <w:color w:val="auto"/>
          <w:u w:val="none"/>
        </w:rPr>
        <w:t xml:space="preserve">Housing Development </w:t>
      </w:r>
      <w:r w:rsidRPr="008C1242">
        <w:rPr>
          <w:b/>
          <w:bCs/>
          <w:color w:val="auto"/>
          <w:u w:val="none"/>
        </w:rPr>
        <w:t>Program</w:t>
      </w:r>
    </w:p>
    <w:p w14:paraId="326EFB57" w14:textId="77777777" w:rsidR="007E5BF0" w:rsidRDefault="007E5BF0" w:rsidP="007E5BF0">
      <w:r w:rsidRPr="00155772">
        <w:rPr>
          <w:rStyle w:val="Heading6Char"/>
        </w:rPr>
        <w:t>Funding Sources:</w:t>
      </w:r>
      <w:r>
        <w:t xml:space="preserve"> HOME</w:t>
      </w:r>
    </w:p>
    <w:p w14:paraId="66AD0EEC" w14:textId="77777777" w:rsidR="007E5BF0" w:rsidRDefault="007E5BF0" w:rsidP="007E5BF0"/>
    <w:p w14:paraId="1822572B" w14:textId="07145ED4" w:rsidR="007E5BF0" w:rsidRDefault="15D4CFDC" w:rsidP="2B242364">
      <w:r w:rsidRPr="2B242364">
        <w:rPr>
          <w:rStyle w:val="Heading6Char"/>
        </w:rPr>
        <w:t>Describe the State Program addressed by the Method of Distribution:</w:t>
      </w:r>
      <w:r>
        <w:t xml:space="preserve"> Within the Priority Needs to Preserve and Construct Affordable Housing and Reduce Homelessness, HOME funds can be used to acquire, rehabilitate, or construct affordable rental units, homeownership units, or permanent housing for homeless individuals or youth. HOME funds will be awarded to any eligible applicant (nonprofit organization,</w:t>
      </w:r>
      <w:r w:rsidR="500467C7">
        <w:t xml:space="preserve"> developer,</w:t>
      </w:r>
      <w:r>
        <w:t xml:space="preserve"> CHDO, and/or local government) who may apply for funding individually or with housing partners. Commerce will set aside a minimum of 15% of HOME funds for activities sponsored, developed, or owned by CHDOs. CHDO or CHDO-partnered applicants will receive first consideration on eligible projects that meet the criteria of the HOME Housing Development Program. The HOME Program may not award any project activities until at least 15% of the HOME Program funds have been allocated to meet the HUD CHDO set-aside requirement. All eligible applicants will be required to identify how the investment of HOME funds will meet the goals and objectives of 2020-2024 Consolidated Plan and the local planning efforts. Eligible applicants are encouraged to partner with other organizations to provide collaborative and cost-effective projects that will benefit the community and households receiving HOME assistance.</w:t>
      </w:r>
    </w:p>
    <w:p w14:paraId="7876C184" w14:textId="77777777" w:rsidR="007E5BF0" w:rsidRDefault="007E5BF0" w:rsidP="007E5BF0"/>
    <w:p w14:paraId="7EEAEE4B" w14:textId="66F777A9" w:rsidR="007E5BF0" w:rsidRDefault="007E5BF0" w:rsidP="007E5BF0">
      <w:r w:rsidRPr="77A3D6BC">
        <w:rPr>
          <w:rStyle w:val="Heading6Char"/>
        </w:rPr>
        <w:t xml:space="preserve">Describe </w:t>
      </w:r>
      <w:proofErr w:type="gramStart"/>
      <w:r w:rsidRPr="77A3D6BC">
        <w:rPr>
          <w:rStyle w:val="Heading6Char"/>
        </w:rPr>
        <w:t>all of</w:t>
      </w:r>
      <w:proofErr w:type="gramEnd"/>
      <w:r w:rsidRPr="77A3D6BC">
        <w:rPr>
          <w:rStyle w:val="Heading6Char"/>
        </w:rPr>
        <w:t xml:space="preserve"> the criteria that will be used to select applications and the relative importance of these criteria:</w:t>
      </w:r>
      <w:r>
        <w:t xml:space="preserve"> HOME Housing Development applications are ranked according to the applicant’s ability to meet the application criteria and align with the goals in the 2020-2024 Consolidated Plan. HOME Program requirements, grant application and guidelines, the project grant administration manual, and other relevant information and resources are available on the Commerce website at </w:t>
      </w:r>
      <w:hyperlink r:id="rId30">
        <w:r w:rsidR="00B80AC0" w:rsidRPr="77A3D6BC">
          <w:rPr>
            <w:rStyle w:val="Hyperlink"/>
          </w:rPr>
          <w:t>https://housing.mt.gov/Multifamily-Development/HOME-Program</w:t>
        </w:r>
      </w:hyperlink>
      <w:r>
        <w:t>.</w:t>
      </w:r>
    </w:p>
    <w:p w14:paraId="15C4B181" w14:textId="77777777" w:rsidR="007E5BF0" w:rsidRDefault="007E5BF0" w:rsidP="007E5BF0"/>
    <w:p w14:paraId="35DA57E3" w14:textId="4EE4759D" w:rsidR="007E5BF0" w:rsidRDefault="1664CBFB" w:rsidP="00627D07">
      <w:r w:rsidRPr="4BD80007">
        <w:rPr>
          <w:rStyle w:val="Heading6Char"/>
        </w:rPr>
        <w:t>Describe how resources will be allocated among funding categories:</w:t>
      </w:r>
      <w:r>
        <w:t xml:space="preserve"> For </w:t>
      </w:r>
      <w:r w:rsidR="0BADF7E3">
        <w:t xml:space="preserve">Plan Year </w:t>
      </w:r>
      <w:r w:rsidR="2242D04B">
        <w:t>5</w:t>
      </w:r>
      <w:r>
        <w:t>, the State of</w:t>
      </w:r>
      <w:r w:rsidR="00627D07">
        <w:t xml:space="preserve"> Montana will allocate</w:t>
      </w:r>
      <w:r>
        <w:t xml:space="preserve"> </w:t>
      </w:r>
      <w:r w:rsidR="193D6CFD">
        <w:t>$2,500,000</w:t>
      </w:r>
      <w:r w:rsidR="42819508">
        <w:t xml:space="preserve"> of its </w:t>
      </w:r>
      <w:r w:rsidR="00627D07">
        <w:t>HOME resources to preserving and constructing affordable housing</w:t>
      </w:r>
      <w:r w:rsidR="0F2894FB">
        <w:t>.</w:t>
      </w:r>
      <w:r w:rsidR="53F5AEC0">
        <w:t xml:space="preserve"> </w:t>
      </w:r>
      <w:r w:rsidR="5A4B4E27">
        <w:lastRenderedPageBreak/>
        <w:t xml:space="preserve">$300,000 or </w:t>
      </w:r>
      <w:r w:rsidR="53F5AEC0">
        <w:t>10% of Plan Year 5 HOME funds will be used for administration and $200,000 for homebuyer as</w:t>
      </w:r>
      <w:r w:rsidR="691186B1">
        <w:t>sistance</w:t>
      </w:r>
      <w:r w:rsidR="00627D07">
        <w:t xml:space="preserve">. The HOME Housing Development allocation amount is based on beneficiary data of the project area, </w:t>
      </w:r>
      <w:r w:rsidR="5618F903">
        <w:t>and</w:t>
      </w:r>
      <w:r w:rsidR="00627D07">
        <w:t xml:space="preserve"> the feasibility and need for the activity.</w:t>
      </w:r>
      <w:r w:rsidR="5618F903">
        <w:t xml:space="preserve"> </w:t>
      </w:r>
      <w:r w:rsidR="6A5EE93A">
        <w:t>The State of Montana will not allocate any HOME resources to reducing homelessness</w:t>
      </w:r>
      <w:r w:rsidR="0D26F456">
        <w:t xml:space="preserve"> in Plan Year </w:t>
      </w:r>
      <w:r w:rsidR="005D3B7A">
        <w:t xml:space="preserve">5 </w:t>
      </w:r>
      <w:r w:rsidR="6A5EE93A">
        <w:t>due to</w:t>
      </w:r>
      <w:r w:rsidR="00627D07">
        <w:t xml:space="preserve"> the availability of other federal or state resources for the activity, including HOME-ARP </w:t>
      </w:r>
      <w:r w:rsidR="7D956DE8">
        <w:t xml:space="preserve">and ESFG </w:t>
      </w:r>
      <w:r w:rsidR="00627D07">
        <w:t>funds.</w:t>
      </w:r>
      <w:r w:rsidR="6A5EE93A">
        <w:t xml:space="preserve"> </w:t>
      </w:r>
    </w:p>
    <w:p w14:paraId="146A77E2" w14:textId="77777777" w:rsidR="007E5BF0" w:rsidRDefault="007E5BF0" w:rsidP="007E5BF0"/>
    <w:p w14:paraId="5385D977" w14:textId="1640D560" w:rsidR="007E5BF0" w:rsidRDefault="007E5BF0" w:rsidP="007E5BF0">
      <w:r w:rsidRPr="331F13D3">
        <w:rPr>
          <w:rStyle w:val="Heading6Char"/>
        </w:rPr>
        <w:t>Describe threshold factors and grant size limits.</w:t>
      </w:r>
      <w:r>
        <w:t xml:space="preserve"> All funded HOME Housing Development activities must meet HOME requirements. </w:t>
      </w:r>
      <w:r w:rsidR="712D1ECC">
        <w:t xml:space="preserve">Award amounts </w:t>
      </w:r>
      <w:r>
        <w:t xml:space="preserve">will be determined through underwriting criteria and subsidy limit determinations reviewed during the application process. No grant will be awarded that exceeds the HOME maximum subsidy limit as established </w:t>
      </w:r>
      <w:r w:rsidR="4E5E781E">
        <w:t xml:space="preserve">annually </w:t>
      </w:r>
      <w:r>
        <w:t xml:space="preserve">by HUD. </w:t>
      </w:r>
    </w:p>
    <w:p w14:paraId="50F48531" w14:textId="77777777" w:rsidR="007E5BF0" w:rsidRDefault="007E5BF0" w:rsidP="007E5BF0"/>
    <w:p w14:paraId="4FA69645" w14:textId="53921B95" w:rsidR="007E5BF0" w:rsidRDefault="007E5BF0" w:rsidP="007E5BF0">
      <w:r w:rsidRPr="77A3D6BC">
        <w:rPr>
          <w:rStyle w:val="Heading6Char"/>
        </w:rPr>
        <w:t>Anticipated Outcome Measure:</w:t>
      </w:r>
      <w:r>
        <w:t xml:space="preserve"> </w:t>
      </w:r>
      <w:r w:rsidDel="2D14417D">
        <w:t>12</w:t>
      </w:r>
      <w:r w:rsidR="198291D8">
        <w:t xml:space="preserve"> </w:t>
      </w:r>
      <w:r>
        <w:t xml:space="preserve">rental or homeowner units will be constructed; </w:t>
      </w:r>
      <w:r w:rsidR="2F7978B1">
        <w:t>10</w:t>
      </w:r>
      <w:r>
        <w:t xml:space="preserve"> rental units will be rehabilitated.</w:t>
      </w:r>
    </w:p>
    <w:p w14:paraId="44DFBD5E" w14:textId="77777777" w:rsidR="007E5BF0" w:rsidRDefault="007E5BF0" w:rsidP="007E5BF0">
      <w:pPr>
        <w:pBdr>
          <w:bottom w:val="single" w:sz="4" w:space="1" w:color="auto"/>
        </w:pBdr>
      </w:pPr>
    </w:p>
    <w:p w14:paraId="567092FE" w14:textId="77777777" w:rsidR="007E5BF0" w:rsidRDefault="007E5BF0" w:rsidP="007E5BF0"/>
    <w:p w14:paraId="37C3FDEE" w14:textId="77777777" w:rsidR="007E5BF0" w:rsidRPr="005C50E9" w:rsidRDefault="15D4CFDC" w:rsidP="007E5BF0">
      <w:pPr>
        <w:pStyle w:val="Heading4"/>
        <w:rPr>
          <w:u w:val="none"/>
        </w:rPr>
      </w:pPr>
      <w:r w:rsidRPr="2B242364">
        <w:rPr>
          <w:i/>
          <w:u w:val="none"/>
        </w:rPr>
        <w:t>State Program Name:</w:t>
      </w:r>
      <w:r>
        <w:rPr>
          <w:u w:val="none"/>
        </w:rPr>
        <w:t xml:space="preserve"> </w:t>
      </w:r>
      <w:bookmarkStart w:id="66" w:name="_Hlk63075798"/>
      <w:r w:rsidRPr="2B242364">
        <w:rPr>
          <w:b/>
          <w:bCs/>
          <w:color w:val="auto"/>
          <w:u w:val="none"/>
        </w:rPr>
        <w:t>HTF Program</w:t>
      </w:r>
      <w:bookmarkEnd w:id="66"/>
    </w:p>
    <w:p w14:paraId="74F15D43" w14:textId="77777777" w:rsidR="007E5BF0" w:rsidRDefault="007E5BF0" w:rsidP="007E5BF0">
      <w:r w:rsidRPr="00155772">
        <w:rPr>
          <w:rStyle w:val="Heading6Char"/>
        </w:rPr>
        <w:t>Funding Sources:</w:t>
      </w:r>
      <w:r>
        <w:t xml:space="preserve"> HTF</w:t>
      </w:r>
    </w:p>
    <w:p w14:paraId="6A93D051" w14:textId="77777777" w:rsidR="007E5BF0" w:rsidRDefault="007E5BF0" w:rsidP="007E5BF0"/>
    <w:p w14:paraId="43ABB2BB" w14:textId="74CF8695" w:rsidR="007E5BF0" w:rsidRDefault="15D4CFDC" w:rsidP="007E5BF0">
      <w:r w:rsidRPr="331F13D3">
        <w:rPr>
          <w:rStyle w:val="Heading6Char"/>
        </w:rPr>
        <w:t>Describe the State Program addressed by the Method of Distribution:</w:t>
      </w:r>
      <w:r>
        <w:t xml:space="preserve"> Within the Priority Needs to Preserve and Construct Affordable Housing and Reduce Homelessness, HTF funds will be used to increase and preserve the supply of rental housing for extremely low-income households, particularly</w:t>
      </w:r>
      <w:r w:rsidR="24060B1C">
        <w:t xml:space="preserve"> those who are </w:t>
      </w:r>
      <w:r>
        <w:t xml:space="preserve">homeless, disabled, elderly, </w:t>
      </w:r>
      <w:r w:rsidR="0C0AE99E">
        <w:t xml:space="preserve">or </w:t>
      </w:r>
      <w:r>
        <w:t>other</w:t>
      </w:r>
      <w:r w:rsidR="77E6667D">
        <w:t>wise</w:t>
      </w:r>
      <w:r>
        <w:t xml:space="preserve"> disadvantaged Commerce will not use HTF funds to assist first-time homebuyers, for homeownership housing financing, or for refinancing existing debt.</w:t>
      </w:r>
    </w:p>
    <w:p w14:paraId="2CF47AB7" w14:textId="06A15237" w:rsidR="007E5BF0" w:rsidRDefault="007E5BF0" w:rsidP="2B242364"/>
    <w:p w14:paraId="3A147C99" w14:textId="643EC852" w:rsidR="007E5BF0" w:rsidRDefault="15D4CFDC" w:rsidP="007E5BF0">
      <w:r w:rsidRPr="331F13D3">
        <w:rPr>
          <w:rStyle w:val="Heading6Char"/>
        </w:rPr>
        <w:t xml:space="preserve">Describe </w:t>
      </w:r>
      <w:proofErr w:type="gramStart"/>
      <w:r w:rsidRPr="331F13D3">
        <w:rPr>
          <w:rStyle w:val="Heading6Char"/>
        </w:rPr>
        <w:t>all of</w:t>
      </w:r>
      <w:proofErr w:type="gramEnd"/>
      <w:r w:rsidRPr="331F13D3">
        <w:rPr>
          <w:rStyle w:val="Heading6Char"/>
        </w:rPr>
        <w:t xml:space="preserve"> the criteria that will be used to select applications and the relative importance of these criteria:</w:t>
      </w:r>
      <w:r>
        <w:t xml:space="preserve"> Commerce will accept HTF applications on a competitive basis. Commerce will then prioritize project proposals from eligible entities through a ranking process. Applications will be ranked to determine how closely a project aligns with the intent of the 2020-2024 Consolidated Plan and HTF Program goals and objectives and ranking criteria. HTF Program requirements, grant application and guidelines, the project administration manual, and other relevant information and resources are available on the Commerce website at </w:t>
      </w:r>
      <w:hyperlink r:id="rId31">
        <w:r w:rsidR="37CE612D" w:rsidRPr="331F13D3">
          <w:rPr>
            <w:rStyle w:val="Hyperlink"/>
          </w:rPr>
          <w:t>https://housing.mt.gov/Multifamily-Development/Housing-Trust-Fund</w:t>
        </w:r>
      </w:hyperlink>
      <w:r>
        <w:t xml:space="preserve">. </w:t>
      </w:r>
    </w:p>
    <w:p w14:paraId="3EFCC350" w14:textId="77777777" w:rsidR="007E5BF0" w:rsidRDefault="007E5BF0" w:rsidP="007E5BF0"/>
    <w:p w14:paraId="01DDA3B7" w14:textId="45D131B5" w:rsidR="007E5BF0" w:rsidRDefault="1664CBFB" w:rsidP="331F13D3">
      <w:r w:rsidRPr="4BD80007">
        <w:rPr>
          <w:rStyle w:val="Heading6Char"/>
        </w:rPr>
        <w:t>Describe how resources will be allocated among funding categories:</w:t>
      </w:r>
      <w:r>
        <w:t xml:space="preserve"> </w:t>
      </w:r>
      <w:r w:rsidR="7A48D08E">
        <w:t xml:space="preserve">For Plan Year </w:t>
      </w:r>
      <w:r w:rsidR="005D3B7A">
        <w:t>5</w:t>
      </w:r>
      <w:r>
        <w:t>, Commerce will allocate</w:t>
      </w:r>
      <w:r w:rsidR="386A9DDD">
        <w:t xml:space="preserve"> </w:t>
      </w:r>
      <w:r w:rsidR="5D4730AE">
        <w:t>$2,080,350</w:t>
      </w:r>
      <w:r w:rsidR="386A9DDD">
        <w:t xml:space="preserve"> of its</w:t>
      </w:r>
      <w:r>
        <w:t xml:space="preserve"> HTF resources </w:t>
      </w:r>
      <w:r w:rsidR="03D29ADA">
        <w:t xml:space="preserve">to </w:t>
      </w:r>
      <w:r>
        <w:t>preserving and constructing affordable housing</w:t>
      </w:r>
      <w:r w:rsidR="4E4A1682">
        <w:t>.</w:t>
      </w:r>
      <w:r w:rsidR="6E7DF1EB">
        <w:t xml:space="preserve"> </w:t>
      </w:r>
      <w:r w:rsidR="49116CDE">
        <w:t xml:space="preserve">$314,483 or </w:t>
      </w:r>
      <w:r w:rsidR="6E7DF1EB">
        <w:t xml:space="preserve">10% of </w:t>
      </w:r>
      <w:r w:rsidR="08A5C82C">
        <w:t>Plan Year 5 HTF funds</w:t>
      </w:r>
      <w:r w:rsidR="6E7DF1EB">
        <w:t xml:space="preserve"> will be used for </w:t>
      </w:r>
      <w:r w:rsidR="6E7DF1EB" w:rsidRPr="002F4A22">
        <w:t>administration</w:t>
      </w:r>
      <w:r w:rsidRPr="002F4A22">
        <w:t xml:space="preserve"> </w:t>
      </w:r>
      <w:r w:rsidR="26BC40B9" w:rsidRPr="002F4A22">
        <w:rPr>
          <w:rStyle w:val="Heading6Char"/>
          <w:rFonts w:asciiTheme="minorHAnsi" w:eastAsiaTheme="minorEastAsia" w:hAnsiTheme="minorHAnsi" w:cstheme="minorBidi"/>
          <w:i w:val="0"/>
          <w:color w:val="auto"/>
        </w:rPr>
        <w:t>with $750,000</w:t>
      </w:r>
      <w:r w:rsidR="005E1F3F" w:rsidRPr="002F4A22">
        <w:rPr>
          <w:rStyle w:val="Heading6Char"/>
          <w:rFonts w:asciiTheme="minorHAnsi" w:eastAsiaTheme="minorEastAsia" w:hAnsiTheme="minorHAnsi" w:cstheme="minorBidi"/>
          <w:i w:val="0"/>
          <w:color w:val="auto"/>
        </w:rPr>
        <w:t>.37</w:t>
      </w:r>
      <w:r w:rsidR="26BC40B9" w:rsidRPr="002F4A22">
        <w:rPr>
          <w:rStyle w:val="Heading6Char"/>
          <w:i w:val="0"/>
          <w:color w:val="auto"/>
        </w:rPr>
        <w:t xml:space="preserve"> </w:t>
      </w:r>
      <w:r w:rsidRPr="002F4A22">
        <w:t>designated for reducing homelessness. The allocation amount is based on beneficiary data of the project area</w:t>
      </w:r>
      <w:r>
        <w:t xml:space="preserve">, the feasibility and need for the activity, and the availability of other federal or state resources for the activity. If no applications are submitted to the HTF program to address homelessness activities, 100% of the funds will be used for housing preservation and new construction activities to benefit extremely low-income households. </w:t>
      </w:r>
    </w:p>
    <w:p w14:paraId="2EDE5A2E" w14:textId="77777777" w:rsidR="007E5BF0" w:rsidRDefault="007E5BF0" w:rsidP="007E5BF0"/>
    <w:p w14:paraId="2336611F" w14:textId="77777777" w:rsidR="007E5BF0" w:rsidRDefault="007E5BF0" w:rsidP="007E5BF0">
      <w:r w:rsidRPr="00D90B06">
        <w:rPr>
          <w:rStyle w:val="Heading6Char"/>
        </w:rPr>
        <w:t>Describe threshold factors and grant size limits.</w:t>
      </w:r>
      <w:r>
        <w:t xml:space="preserve"> All funded HTF activities must meet HTF requirements, including the HOME Program’s maximum per-unit development subsidy limit for housing assisted with HTF funds. The maximum per-unit subsidy is the same as for the HOME Program (24 C.F.R. 93.300(a)) and is calculated using the Uniform Application Form for Montana housing programs, available on the Commerce website.</w:t>
      </w:r>
    </w:p>
    <w:p w14:paraId="78389489" w14:textId="77777777" w:rsidR="007E5BF0" w:rsidRDefault="007E5BF0" w:rsidP="007E5BF0"/>
    <w:p w14:paraId="2DA74767" w14:textId="19C07088" w:rsidR="007E5BF0" w:rsidRDefault="1664CBFB" w:rsidP="007E5BF0">
      <w:r w:rsidRPr="77A3D6BC">
        <w:rPr>
          <w:rStyle w:val="Heading6Char"/>
        </w:rPr>
        <w:t>Anticipated Outcome Measure:</w:t>
      </w:r>
      <w:r>
        <w:t xml:space="preserve"> </w:t>
      </w:r>
      <w:r w:rsidR="77BB1E51">
        <w:t>20</w:t>
      </w:r>
      <w:r w:rsidDel="78A2CEC7">
        <w:t xml:space="preserve"> </w:t>
      </w:r>
      <w:r>
        <w:t>rental units will be constructed</w:t>
      </w:r>
      <w:r w:rsidR="539BAFCE">
        <w:t xml:space="preserve"> or</w:t>
      </w:r>
      <w:r>
        <w:t xml:space="preserve"> rehabilitated; and </w:t>
      </w:r>
      <w:r w:rsidR="0054649D" w:rsidDel="1664CBFB">
        <w:t>10</w:t>
      </w:r>
      <w:r w:rsidR="0054649D">
        <w:t xml:space="preserve"> units</w:t>
      </w:r>
      <w:r>
        <w:t xml:space="preserve"> of permanent housing to reduce homelessness will be constructed or rehabilitated. </w:t>
      </w:r>
    </w:p>
    <w:p w14:paraId="056B092C" w14:textId="77777777" w:rsidR="007E5BF0" w:rsidRDefault="007E5BF0" w:rsidP="007E5BF0">
      <w:pPr>
        <w:pBdr>
          <w:bottom w:val="single" w:sz="4" w:space="1" w:color="auto"/>
        </w:pBdr>
      </w:pPr>
    </w:p>
    <w:p w14:paraId="764B8CC9" w14:textId="77777777" w:rsidR="007E5BF0" w:rsidRDefault="007E5BF0" w:rsidP="007E5BF0"/>
    <w:p w14:paraId="4B64F6E0" w14:textId="77777777" w:rsidR="007E5BF0" w:rsidRPr="006076AB" w:rsidRDefault="007E5BF0" w:rsidP="007E5BF0">
      <w:pPr>
        <w:pStyle w:val="Heading4"/>
        <w:rPr>
          <w:u w:val="none"/>
        </w:rPr>
      </w:pPr>
      <w:r w:rsidRPr="6BAB5C2E">
        <w:rPr>
          <w:i/>
          <w:u w:val="none"/>
        </w:rPr>
        <w:t>State Program Name:</w:t>
      </w:r>
      <w:r>
        <w:rPr>
          <w:u w:val="none"/>
        </w:rPr>
        <w:t xml:space="preserve"> </w:t>
      </w:r>
      <w:r w:rsidRPr="6BAB5C2E">
        <w:rPr>
          <w:b/>
          <w:bCs/>
          <w:color w:val="auto"/>
          <w:u w:val="none"/>
        </w:rPr>
        <w:t>ESG Program</w:t>
      </w:r>
    </w:p>
    <w:p w14:paraId="7B5FD2F4" w14:textId="77777777" w:rsidR="007E5BF0" w:rsidRDefault="007E5BF0" w:rsidP="007E5BF0">
      <w:r w:rsidRPr="005B76F8">
        <w:rPr>
          <w:rStyle w:val="Heading6Char"/>
        </w:rPr>
        <w:t>Funding Source:</w:t>
      </w:r>
      <w:r>
        <w:t xml:space="preserve"> ESG</w:t>
      </w:r>
    </w:p>
    <w:p w14:paraId="262CC3D8" w14:textId="77777777" w:rsidR="007E5BF0" w:rsidRDefault="007E5BF0" w:rsidP="007E5BF0"/>
    <w:p w14:paraId="1E61E9D9" w14:textId="11239508" w:rsidR="007E5BF0" w:rsidRDefault="007E5BF0" w:rsidP="007E5BF0">
      <w:r w:rsidRPr="005B76F8">
        <w:rPr>
          <w:rStyle w:val="Heading6Char"/>
        </w:rPr>
        <w:t>Describe the State Program addressed by the Method of Distribution:</w:t>
      </w:r>
      <w:r>
        <w:t xml:space="preserve"> Within the Priority Need to Reduce Homelessness, ESG funds will support activities that provide a comprehensive approach to address the needs of persons who are homeless or at risk of homelessness. These activities are intended to assist in the prevention and alleviation of homelessness; provide temporary and/or permanent housing for persons who are homeless; and encourage the development of projects that link housing assistance programs with efforts to promote self-sufficiency. The </w:t>
      </w:r>
      <w:proofErr w:type="spellStart"/>
      <w:r>
        <w:t>MTCoC</w:t>
      </w:r>
      <w:proofErr w:type="spellEnd"/>
      <w:r>
        <w:t xml:space="preserve"> system has been developed to help ensure that persons who are homeless or at risk of homelessness are able to access needed emergency shelter, street outreach, homelessness prevention, and rapid rehousing services statewide. </w:t>
      </w:r>
    </w:p>
    <w:p w14:paraId="1D18FC38" w14:textId="6290BF8B" w:rsidR="00B35DF1" w:rsidRDefault="00B35DF1" w:rsidP="007E5BF0"/>
    <w:p w14:paraId="3AD8202A" w14:textId="77B6C0EA" w:rsidR="008927F1" w:rsidRDefault="5FA63E0D" w:rsidP="6BAB5C2E">
      <w:r>
        <w:t xml:space="preserve">ESG funds are </w:t>
      </w:r>
      <w:r w:rsidR="0054649D">
        <w:t>allocated for</w:t>
      </w:r>
      <w:r>
        <w:t xml:space="preserve"> </w:t>
      </w:r>
      <w:r w:rsidR="053CBF18">
        <w:t>the 12 poverty districts of Montana.</w:t>
      </w:r>
      <w:r>
        <w:t xml:space="preserve"> based on a formula allocation, reflecting poverty and population in the area as relative to poverty and population in the entire state. This process is set forth in </w:t>
      </w:r>
      <w:r w:rsidR="6C1AF201">
        <w:t>MCA</w:t>
      </w:r>
      <w:r>
        <w:t xml:space="preserve"> Section 53-10-502, which pertains to the federal Community Services Block Grant (CSBG). </w:t>
      </w:r>
      <w:r w:rsidR="6C1AF201">
        <w:t xml:space="preserve">Subrecipients are encouraged to develop sub-subrecipient relationships to expand services more effectively. Through this approach, agencies that work directly with clients served and partners organizations in the area may establish work plans that meet the demand that they see </w:t>
      </w:r>
      <w:proofErr w:type="gramStart"/>
      <w:r w:rsidR="6C1AF201">
        <w:t>on a daily basis</w:t>
      </w:r>
      <w:proofErr w:type="gramEnd"/>
      <w:r w:rsidR="6C1AF201">
        <w:t>, and the need that they have identified through a Needs Assessment process. All project types are eligible for agencies to use because they depend on local needs.</w:t>
      </w:r>
      <w:r w:rsidR="52D29B72">
        <w:t xml:space="preserve"> Currently,</w:t>
      </w:r>
      <w:r w:rsidR="6C1AF201">
        <w:t xml:space="preserve"> </w:t>
      </w:r>
      <w:r w:rsidR="1666EA1A">
        <w:t>8 of Montana’s HRDCs serve district</w:t>
      </w:r>
      <w:r w:rsidR="19BABD68">
        <w:t>s 5-12 DPHHS is currently engaged in a limited solicitation bid for districts 1-4.</w:t>
      </w:r>
    </w:p>
    <w:p w14:paraId="2D54DC09" w14:textId="77777777" w:rsidR="007E5BF0" w:rsidRDefault="007E5BF0" w:rsidP="007E5BF0"/>
    <w:p w14:paraId="2B8A1392" w14:textId="290F73BD" w:rsidR="007E5BF0" w:rsidRDefault="007E5BF0" w:rsidP="0054649D">
      <w:r w:rsidRPr="6BAB5C2E">
        <w:rPr>
          <w:rStyle w:val="Heading6Char"/>
        </w:rPr>
        <w:t xml:space="preserve">Describe </w:t>
      </w:r>
      <w:proofErr w:type="gramStart"/>
      <w:r w:rsidRPr="6BAB5C2E">
        <w:rPr>
          <w:rStyle w:val="Heading6Char"/>
        </w:rPr>
        <w:t>all of</w:t>
      </w:r>
      <w:proofErr w:type="gramEnd"/>
      <w:r w:rsidRPr="6BAB5C2E">
        <w:rPr>
          <w:rStyle w:val="Heading6Char"/>
        </w:rPr>
        <w:t xml:space="preserve"> the criteria that will be used to select applications and the relative important of these criteria:</w:t>
      </w:r>
      <w:r>
        <w:t xml:space="preserve"> Needs assessments and strategic planning are conducted by </w:t>
      </w:r>
      <w:r w:rsidR="6E198879">
        <w:t xml:space="preserve">subrecipients </w:t>
      </w:r>
      <w:r>
        <w:t>to ensure the best alignment of resources available with the needs of LMI persons within the services areas. Partnerships with other organizations are considered essential to eliminate duplication of services to best meet the needs within each community.</w:t>
      </w:r>
      <w:r w:rsidR="0054649D">
        <w:t xml:space="preserve"> </w:t>
      </w:r>
      <w:r w:rsidR="2657D747">
        <w:t>DPHHS will accept</w:t>
      </w:r>
      <w:r w:rsidR="1B8C2845">
        <w:t xml:space="preserve"> applications </w:t>
      </w:r>
      <w:r w:rsidR="53469B99">
        <w:t xml:space="preserve">for the limited solicitation </w:t>
      </w:r>
      <w:r w:rsidR="1B8C2845">
        <w:t xml:space="preserve">on a competitive </w:t>
      </w:r>
      <w:r w:rsidR="1B8C2845" w:rsidRPr="0054649D">
        <w:rPr>
          <w:rFonts w:cstheme="minorHAnsi"/>
        </w:rPr>
        <w:t xml:space="preserve">basis. </w:t>
      </w:r>
      <w:r w:rsidR="4891C85F" w:rsidRPr="0054649D">
        <w:rPr>
          <w:rStyle w:val="Heading6Char"/>
          <w:rFonts w:asciiTheme="minorHAnsi" w:hAnsiTheme="minorHAnsi" w:cstheme="minorHAnsi"/>
          <w:i w:val="0"/>
          <w:color w:val="auto"/>
        </w:rPr>
        <w:t xml:space="preserve">DPHHS </w:t>
      </w:r>
      <w:r w:rsidR="1B8C2845" w:rsidRPr="0054649D">
        <w:rPr>
          <w:rFonts w:cstheme="minorHAnsi"/>
        </w:rPr>
        <w:t>will then</w:t>
      </w:r>
      <w:r w:rsidR="1B8C2845" w:rsidRPr="0054649D">
        <w:t xml:space="preserve"> </w:t>
      </w:r>
      <w:r w:rsidR="1B8C2845">
        <w:t xml:space="preserve">prioritize project proposals from eligible entities through a ranking process. Applications will be ranked to determine how closely a project aligns with the intent of the </w:t>
      </w:r>
      <w:r w:rsidR="77281B60">
        <w:t>ESG p</w:t>
      </w:r>
      <w:r w:rsidR="1B8C2845">
        <w:t xml:space="preserve">rogram goals and objectives and ranking criteria. </w:t>
      </w:r>
      <w:r>
        <w:t xml:space="preserve">The ESG Program Policy Manual is available on DPHHS’s website </w:t>
      </w:r>
      <w:r w:rsidR="0054649D">
        <w:t xml:space="preserve">at </w:t>
      </w:r>
      <w:hyperlink r:id="rId32" w:history="1">
        <w:r w:rsidR="0054649D" w:rsidRPr="003618E7">
          <w:rPr>
            <w:rStyle w:val="Hyperlink"/>
          </w:rPr>
          <w:t>http://dphhs.mt.gov/Portals/85/hcsd/documents/ESGPolicyManual.pdf</w:t>
        </w:r>
      </w:hyperlink>
      <w:r w:rsidR="0054649D">
        <w:t xml:space="preserve">. </w:t>
      </w:r>
    </w:p>
    <w:p w14:paraId="6B1D9AC2" w14:textId="77777777" w:rsidR="007E5BF0" w:rsidRDefault="007E5BF0" w:rsidP="007E5BF0"/>
    <w:p w14:paraId="69C6F2B2" w14:textId="60DBBFF0" w:rsidR="007E5BF0" w:rsidRDefault="2DA80E20" w:rsidP="007E5BF0">
      <w:r w:rsidRPr="54FDEEE5">
        <w:rPr>
          <w:rStyle w:val="Heading6Char"/>
        </w:rPr>
        <w:t>Describe how resources will be allocated among funding categories:</w:t>
      </w:r>
      <w:r>
        <w:t xml:space="preserve"> For Plan Year </w:t>
      </w:r>
      <w:r w:rsidR="005D3B7A">
        <w:t>5</w:t>
      </w:r>
      <w:r>
        <w:t>, Montana will allocate</w:t>
      </w:r>
      <w:r w:rsidR="17EABD85">
        <w:t xml:space="preserve"> </w:t>
      </w:r>
      <w:r>
        <w:t>to ESG administration</w:t>
      </w:r>
      <w:r w:rsidR="1DAEB2B3">
        <w:t xml:space="preserve"> </w:t>
      </w:r>
      <w:r>
        <w:t xml:space="preserve">and to ESG program-specific activities for a total of </w:t>
      </w:r>
      <w:r w:rsidR="55C73DA6" w:rsidRPr="00A75DA5">
        <w:t>$</w:t>
      </w:r>
      <w:r w:rsidR="0033421F">
        <w:t>744,418</w:t>
      </w:r>
      <w:r>
        <w:t>.</w:t>
      </w:r>
    </w:p>
    <w:p w14:paraId="10597800" w14:textId="77777777" w:rsidR="007E5BF0" w:rsidRDefault="007E5BF0" w:rsidP="007E5BF0"/>
    <w:p w14:paraId="535D499A" w14:textId="2B7E83BB" w:rsidR="007E5BF0" w:rsidRDefault="007E5BF0" w:rsidP="007E5BF0">
      <w:r w:rsidRPr="6BAB5C2E">
        <w:rPr>
          <w:rStyle w:val="Heading6Char"/>
        </w:rPr>
        <w:t>Describe threshold factors and grant size limits.</w:t>
      </w:r>
      <w:r>
        <w:t xml:space="preserve"> </w:t>
      </w:r>
      <w:r w:rsidR="1FC470BA">
        <w:t xml:space="preserve">ESG funds are distributed based on a formula allocation, reflecting poverty and population as set forth in MCA 53-10-502, pertaining to federal CSBG. DPHHS and subrecipient relationships are established through contracts. Subrecipients must develop work plans based on the need in their area. If the agency cannot fulfill all the identified highest needs, the agency establishes sub-subrecipient relationships with other organizations in their community, including nonprofits, community, and faith-based organizations. </w:t>
      </w:r>
    </w:p>
    <w:p w14:paraId="3CDD7C3A" w14:textId="77777777" w:rsidR="007E5BF0" w:rsidRDefault="007E5BF0" w:rsidP="007E5BF0"/>
    <w:p w14:paraId="17F38A66" w14:textId="7079BE9D" w:rsidR="007E5BF0" w:rsidRDefault="6CFD59CF" w:rsidP="007E5BF0">
      <w:r w:rsidRPr="5BE1019D">
        <w:rPr>
          <w:rStyle w:val="Heading6Char"/>
        </w:rPr>
        <w:lastRenderedPageBreak/>
        <w:t>Anticipated Outcome Measure:</w:t>
      </w:r>
      <w:r>
        <w:t xml:space="preserve"> </w:t>
      </w:r>
      <w:r w:rsidR="7009A119">
        <w:t>350</w:t>
      </w:r>
      <w:r w:rsidR="00A74A71">
        <w:t xml:space="preserve"> </w:t>
      </w:r>
      <w:r>
        <w:t>individuals in</w:t>
      </w:r>
      <w:r w:rsidR="4FEC2422">
        <w:t xml:space="preserve"> </w:t>
      </w:r>
      <w:r w:rsidR="00A74A71">
        <w:t>200 households</w:t>
      </w:r>
      <w:r>
        <w:t xml:space="preserve"> will be served with rental assistance and housing relocation and stabilization services</w:t>
      </w:r>
      <w:r w:rsidR="6C1AF201">
        <w:t xml:space="preserve"> either through rapid rehousing or homeless prevention programs</w:t>
      </w:r>
      <w:r>
        <w:t xml:space="preserve">; </w:t>
      </w:r>
      <w:r w:rsidR="2ECF0AFD">
        <w:t xml:space="preserve">50 </w:t>
      </w:r>
      <w:r>
        <w:t xml:space="preserve">persons will be assisted with overnight shelter. </w:t>
      </w:r>
    </w:p>
    <w:p w14:paraId="6700FD3E" w14:textId="77777777" w:rsidR="007E5BF0" w:rsidRDefault="007E5BF0" w:rsidP="007E5BF0">
      <w:pPr>
        <w:pBdr>
          <w:bottom w:val="single" w:sz="4" w:space="1" w:color="auto"/>
        </w:pBdr>
      </w:pPr>
    </w:p>
    <w:p w14:paraId="2C00305B" w14:textId="77777777" w:rsidR="007E5BF0" w:rsidRDefault="007E5BF0" w:rsidP="007E5BF0"/>
    <w:p w14:paraId="1E4BDE10" w14:textId="77777777" w:rsidR="007E5BF0" w:rsidRDefault="007E5BF0" w:rsidP="007E5BF0">
      <w:r>
        <w:t xml:space="preserve">Montana, South Dakota, and North Dakota are ineligible to receive HOPWA formula funds due to population and need demographics, however, there still exists a need for such housing assistance in our communities. The three states organized a tri-state regional program named “Tri-State Housing Environments for Living Positively” or “Tri-State HELP,” a partnership between one state agency and four private agencies to apply for competitive HOPWA funds and serve those individuals seeking help. Montana was assigned two sponsor organizations: one representing the western half of the state and one representing the eastern side of the state. One sponsor is in South Dakota and one sponsor is in North Dakota; this was determined based on population and need. Housing coordinators and case managers have built strong relationships and referral systems with not only the Ryan White program in all three states but also their communities’ vast client service networks. </w:t>
      </w:r>
    </w:p>
    <w:p w14:paraId="5F92DED5" w14:textId="77777777" w:rsidR="007E5BF0" w:rsidRDefault="007E5BF0" w:rsidP="007E5BF0"/>
    <w:p w14:paraId="207B751C" w14:textId="77777777" w:rsidR="007E5BF0" w:rsidRDefault="007E5BF0" w:rsidP="007E5BF0">
      <w:r>
        <w:t>With the large geographical area covered by the Tri-State HELP HOPWA program, the entire states of Montana, South Dakota, and North Dakota, the grantee has contracted with Montana State University to help provide training and technical assistance, monitoring, data collection, Annual Performance Report (APR) reporting, and program support of programmatic issues and resources to assist sponsor agencies.</w:t>
      </w:r>
    </w:p>
    <w:p w14:paraId="3B4883F2" w14:textId="77777777" w:rsidR="007E5BF0" w:rsidRPr="001B641D" w:rsidRDefault="007E5BF0" w:rsidP="007E5BF0"/>
    <w:p w14:paraId="67FAAD68" w14:textId="77777777" w:rsidR="007E5BF0" w:rsidRDefault="007E5BF0" w:rsidP="007E5BF0">
      <w:pPr>
        <w:pStyle w:val="Heading3"/>
      </w:pPr>
      <w:r w:rsidRPr="00CB741C">
        <w:t>Discussion</w:t>
      </w:r>
    </w:p>
    <w:p w14:paraId="16DB6E76" w14:textId="77777777" w:rsidR="007E5BF0" w:rsidRDefault="007E5BF0" w:rsidP="007E5BF0">
      <w:r>
        <w:t>All methods of distribution for the CDBG, HOME, HTF, and ESG programs are designed to meet specific program requirements, ensure the most effective use of the funds, and attain the State of Montana’s goals and objectives as set forth in the Consolidated Plan.</w:t>
      </w:r>
    </w:p>
    <w:p w14:paraId="69C91540" w14:textId="77777777" w:rsidR="007E5BF0" w:rsidRPr="008D3EF3" w:rsidRDefault="007E5BF0" w:rsidP="007E5BF0"/>
    <w:p w14:paraId="62412AAA" w14:textId="77777777" w:rsidR="007E5BF0" w:rsidRDefault="007E5BF0" w:rsidP="003747A4">
      <w:pPr>
        <w:pStyle w:val="Heading2"/>
        <w:rPr>
          <w:i/>
        </w:rPr>
      </w:pPr>
      <w:bookmarkStart w:id="67" w:name="_Toc70505040"/>
      <w:bookmarkStart w:id="68" w:name="_Toc72413494"/>
      <w:r>
        <w:t xml:space="preserve">AP-35 </w:t>
      </w:r>
      <w:r w:rsidRPr="00CB741C">
        <w:t>Projects</w:t>
      </w:r>
      <w:r>
        <w:t xml:space="preserve"> – (Optional)</w:t>
      </w:r>
      <w:bookmarkEnd w:id="67"/>
      <w:bookmarkEnd w:id="68"/>
    </w:p>
    <w:p w14:paraId="790EA39B" w14:textId="77777777" w:rsidR="007E5BF0" w:rsidRDefault="007E5BF0" w:rsidP="007E5BF0">
      <w:pPr>
        <w:pStyle w:val="Heading3"/>
      </w:pPr>
      <w:r w:rsidRPr="00CB741C">
        <w:t>Introduction</w:t>
      </w:r>
      <w:r>
        <w:t xml:space="preserve"> </w:t>
      </w:r>
    </w:p>
    <w:p w14:paraId="41A76812" w14:textId="4D39409F" w:rsidR="007E5BF0" w:rsidRPr="00AC4E2C" w:rsidRDefault="007E5BF0" w:rsidP="007E5BF0">
      <w:r>
        <w:t xml:space="preserve">All activities funded with CDBG, HOME, or HTF funds during Plan Year </w:t>
      </w:r>
      <w:r w:rsidR="005D3B7A">
        <w:t xml:space="preserve">5 </w:t>
      </w:r>
      <w:r>
        <w:t xml:space="preserve">must meet one of the project objectives presented in </w:t>
      </w:r>
      <w:r w:rsidRPr="54FDEEE5">
        <w:rPr>
          <w:b/>
          <w:bCs/>
        </w:rPr>
        <w:t xml:space="preserve">Table </w:t>
      </w:r>
      <w:r w:rsidR="0056587A" w:rsidRPr="54FDEEE5">
        <w:rPr>
          <w:b/>
          <w:bCs/>
        </w:rPr>
        <w:t>9</w:t>
      </w:r>
      <w:r>
        <w:t>. Funds will be awarded through the processes described in AP-30 Methods of Distribution.</w:t>
      </w:r>
    </w:p>
    <w:p w14:paraId="4E5050A2" w14:textId="77777777" w:rsidR="007E5BF0" w:rsidRDefault="007E5BF0" w:rsidP="007E5BF0"/>
    <w:p w14:paraId="7A322560" w14:textId="1BAB2DC1" w:rsidR="007E5BF0" w:rsidRDefault="007E5BF0" w:rsidP="007E5BF0">
      <w:pPr>
        <w:pStyle w:val="TableCaption"/>
      </w:pPr>
      <w:bookmarkStart w:id="69" w:name="_Toc56449319"/>
      <w:bookmarkStart w:id="70" w:name="_Toc61552611"/>
      <w:bookmarkStart w:id="71" w:name="_Toc70505200"/>
      <w:bookmarkStart w:id="72" w:name="_Toc73081448"/>
      <w:r>
        <w:t xml:space="preserve">Table </w:t>
      </w:r>
      <w:r w:rsidR="0056587A">
        <w:t>9</w:t>
      </w:r>
      <w:r>
        <w:t xml:space="preserve"> – Project Information</w:t>
      </w:r>
      <w:bookmarkEnd w:id="69"/>
      <w:bookmarkEnd w:id="70"/>
      <w:bookmarkEnd w:id="71"/>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ject Information (Table 9)"/>
        <w:tblDescription w:val="This table shows project information for the Consolidated Plan."/>
      </w:tblPr>
      <w:tblGrid>
        <w:gridCol w:w="1709"/>
        <w:gridCol w:w="7641"/>
      </w:tblGrid>
      <w:tr w:rsidR="007E5BF0" w14:paraId="6B150862" w14:textId="77777777" w:rsidTr="0044257C">
        <w:trPr>
          <w:cantSplit/>
          <w:tblHeader/>
        </w:trPr>
        <w:tc>
          <w:tcPr>
            <w:tcW w:w="914" w:type="pct"/>
            <w:shd w:val="clear" w:color="auto" w:fill="C5D4D5"/>
            <w:vAlign w:val="center"/>
          </w:tcPr>
          <w:p w14:paraId="70D0BB80" w14:textId="77777777" w:rsidR="007E5BF0" w:rsidRPr="006E128F" w:rsidRDefault="007E5BF0" w:rsidP="0044257C">
            <w:pPr>
              <w:keepNext/>
              <w:widowControl w:val="0"/>
              <w:rPr>
                <w:bCs/>
                <w:sz w:val="20"/>
                <w:szCs w:val="20"/>
              </w:rPr>
            </w:pPr>
            <w:r w:rsidRPr="006E128F">
              <w:rPr>
                <w:bCs/>
                <w:sz w:val="20"/>
                <w:szCs w:val="20"/>
              </w:rPr>
              <w:t>#</w:t>
            </w:r>
          </w:p>
        </w:tc>
        <w:tc>
          <w:tcPr>
            <w:tcW w:w="4086" w:type="pct"/>
            <w:shd w:val="clear" w:color="auto" w:fill="C5D4D5"/>
          </w:tcPr>
          <w:p w14:paraId="12B5FF6F" w14:textId="77777777" w:rsidR="007E5BF0" w:rsidRPr="006E128F" w:rsidRDefault="007E5BF0" w:rsidP="0044257C">
            <w:pPr>
              <w:keepNext/>
              <w:widowControl w:val="0"/>
              <w:jc w:val="center"/>
              <w:rPr>
                <w:bCs/>
                <w:sz w:val="20"/>
                <w:szCs w:val="20"/>
              </w:rPr>
            </w:pPr>
            <w:r w:rsidRPr="006E128F">
              <w:rPr>
                <w:bCs/>
                <w:sz w:val="20"/>
                <w:szCs w:val="20"/>
              </w:rPr>
              <w:t>Project Name</w:t>
            </w:r>
          </w:p>
        </w:tc>
      </w:tr>
      <w:tr w:rsidR="007E5BF0" w14:paraId="2AF42986" w14:textId="77777777" w:rsidTr="0044257C">
        <w:trPr>
          <w:cantSplit/>
          <w:tblHeader/>
        </w:trPr>
        <w:tc>
          <w:tcPr>
            <w:tcW w:w="914" w:type="pct"/>
            <w:vAlign w:val="center"/>
          </w:tcPr>
          <w:p w14:paraId="20EF873F" w14:textId="77777777" w:rsidR="007E5BF0" w:rsidRPr="006E128F" w:rsidRDefault="007E5BF0" w:rsidP="0044257C">
            <w:pPr>
              <w:keepNext/>
              <w:widowControl w:val="0"/>
              <w:rPr>
                <w:bCs/>
                <w:sz w:val="20"/>
                <w:szCs w:val="20"/>
              </w:rPr>
            </w:pPr>
            <w:r w:rsidRPr="006E128F">
              <w:rPr>
                <w:bCs/>
                <w:sz w:val="20"/>
                <w:szCs w:val="20"/>
              </w:rPr>
              <w:t>1</w:t>
            </w:r>
          </w:p>
        </w:tc>
        <w:tc>
          <w:tcPr>
            <w:tcW w:w="4086" w:type="pct"/>
            <w:vAlign w:val="center"/>
          </w:tcPr>
          <w:p w14:paraId="2024483E" w14:textId="77777777" w:rsidR="007E5BF0" w:rsidRPr="006E128F" w:rsidRDefault="007E5BF0" w:rsidP="0044257C">
            <w:pPr>
              <w:keepNext/>
              <w:widowControl w:val="0"/>
              <w:rPr>
                <w:bCs/>
                <w:sz w:val="20"/>
                <w:szCs w:val="20"/>
              </w:rPr>
            </w:pPr>
            <w:r w:rsidRPr="006E128F">
              <w:rPr>
                <w:bCs/>
                <w:sz w:val="20"/>
                <w:szCs w:val="20"/>
              </w:rPr>
              <w:t>Preserve and Construct Affordable Housing</w:t>
            </w:r>
          </w:p>
        </w:tc>
      </w:tr>
      <w:tr w:rsidR="007E5BF0" w14:paraId="57A4B321" w14:textId="77777777" w:rsidTr="0044257C">
        <w:trPr>
          <w:cantSplit/>
          <w:tblHeader/>
        </w:trPr>
        <w:tc>
          <w:tcPr>
            <w:tcW w:w="914" w:type="pct"/>
            <w:vAlign w:val="center"/>
          </w:tcPr>
          <w:p w14:paraId="73E9B997" w14:textId="77777777" w:rsidR="007E5BF0" w:rsidRPr="006E128F" w:rsidRDefault="007E5BF0" w:rsidP="0044257C">
            <w:pPr>
              <w:keepNext/>
              <w:widowControl w:val="0"/>
              <w:rPr>
                <w:bCs/>
                <w:sz w:val="20"/>
                <w:szCs w:val="20"/>
              </w:rPr>
            </w:pPr>
            <w:r w:rsidRPr="006E128F">
              <w:rPr>
                <w:bCs/>
                <w:sz w:val="20"/>
                <w:szCs w:val="20"/>
              </w:rPr>
              <w:t>2</w:t>
            </w:r>
          </w:p>
        </w:tc>
        <w:tc>
          <w:tcPr>
            <w:tcW w:w="4086" w:type="pct"/>
            <w:vAlign w:val="center"/>
          </w:tcPr>
          <w:p w14:paraId="6881D3BC" w14:textId="77777777" w:rsidR="007E5BF0" w:rsidRPr="006E128F" w:rsidRDefault="007E5BF0" w:rsidP="0044257C">
            <w:pPr>
              <w:keepNext/>
              <w:widowControl w:val="0"/>
              <w:rPr>
                <w:bCs/>
                <w:sz w:val="20"/>
                <w:szCs w:val="20"/>
              </w:rPr>
            </w:pPr>
            <w:r w:rsidRPr="006E128F">
              <w:rPr>
                <w:bCs/>
                <w:sz w:val="20"/>
                <w:szCs w:val="20"/>
              </w:rPr>
              <w:t>Plan for Communities</w:t>
            </w:r>
          </w:p>
        </w:tc>
      </w:tr>
      <w:tr w:rsidR="007E5BF0" w14:paraId="135A0582" w14:textId="77777777" w:rsidTr="0044257C">
        <w:trPr>
          <w:cantSplit/>
          <w:tblHeader/>
        </w:trPr>
        <w:tc>
          <w:tcPr>
            <w:tcW w:w="914" w:type="pct"/>
            <w:vAlign w:val="center"/>
          </w:tcPr>
          <w:p w14:paraId="6478DF0A" w14:textId="77777777" w:rsidR="007E5BF0" w:rsidRPr="006E128F" w:rsidRDefault="007E5BF0" w:rsidP="0044257C">
            <w:pPr>
              <w:keepNext/>
              <w:widowControl w:val="0"/>
              <w:rPr>
                <w:bCs/>
                <w:sz w:val="20"/>
                <w:szCs w:val="20"/>
              </w:rPr>
            </w:pPr>
            <w:r w:rsidRPr="006E128F">
              <w:rPr>
                <w:bCs/>
                <w:sz w:val="20"/>
                <w:szCs w:val="20"/>
              </w:rPr>
              <w:t>3</w:t>
            </w:r>
          </w:p>
        </w:tc>
        <w:tc>
          <w:tcPr>
            <w:tcW w:w="4086" w:type="pct"/>
            <w:vAlign w:val="center"/>
          </w:tcPr>
          <w:p w14:paraId="0C116B9C" w14:textId="77777777" w:rsidR="007E5BF0" w:rsidRPr="006E128F" w:rsidRDefault="007E5BF0" w:rsidP="0044257C">
            <w:pPr>
              <w:keepNext/>
              <w:widowControl w:val="0"/>
              <w:rPr>
                <w:bCs/>
                <w:sz w:val="20"/>
                <w:szCs w:val="20"/>
              </w:rPr>
            </w:pPr>
            <w:r w:rsidRPr="006E128F">
              <w:rPr>
                <w:bCs/>
                <w:sz w:val="20"/>
                <w:szCs w:val="20"/>
              </w:rPr>
              <w:t>Improve and Sustain Vital Public Infrastructure</w:t>
            </w:r>
          </w:p>
        </w:tc>
      </w:tr>
      <w:tr w:rsidR="007E5BF0" w14:paraId="553F6D2B" w14:textId="77777777" w:rsidTr="0044257C">
        <w:trPr>
          <w:cantSplit/>
          <w:tblHeader/>
        </w:trPr>
        <w:tc>
          <w:tcPr>
            <w:tcW w:w="914" w:type="pct"/>
            <w:vAlign w:val="center"/>
          </w:tcPr>
          <w:p w14:paraId="7F920ACA" w14:textId="77777777" w:rsidR="007E5BF0" w:rsidRPr="006E128F" w:rsidRDefault="007E5BF0" w:rsidP="0044257C">
            <w:pPr>
              <w:keepNext/>
              <w:widowControl w:val="0"/>
              <w:rPr>
                <w:bCs/>
                <w:sz w:val="20"/>
                <w:szCs w:val="20"/>
              </w:rPr>
            </w:pPr>
            <w:r w:rsidRPr="006E128F">
              <w:rPr>
                <w:bCs/>
                <w:sz w:val="20"/>
                <w:szCs w:val="20"/>
              </w:rPr>
              <w:t>4</w:t>
            </w:r>
          </w:p>
        </w:tc>
        <w:tc>
          <w:tcPr>
            <w:tcW w:w="4086" w:type="pct"/>
            <w:vAlign w:val="center"/>
          </w:tcPr>
          <w:p w14:paraId="20B4DAED" w14:textId="77777777" w:rsidR="007E5BF0" w:rsidRPr="006E128F" w:rsidRDefault="007E5BF0" w:rsidP="0044257C">
            <w:pPr>
              <w:keepNext/>
              <w:widowControl w:val="0"/>
              <w:rPr>
                <w:bCs/>
                <w:sz w:val="20"/>
                <w:szCs w:val="20"/>
              </w:rPr>
            </w:pPr>
            <w:r w:rsidRPr="006E128F">
              <w:rPr>
                <w:bCs/>
                <w:sz w:val="20"/>
                <w:szCs w:val="20"/>
              </w:rPr>
              <w:t>Revitalize Local Economies</w:t>
            </w:r>
          </w:p>
        </w:tc>
      </w:tr>
      <w:tr w:rsidR="007E5BF0" w14:paraId="115D2D48" w14:textId="77777777" w:rsidTr="0044257C">
        <w:trPr>
          <w:cantSplit/>
          <w:tblHeader/>
        </w:trPr>
        <w:tc>
          <w:tcPr>
            <w:tcW w:w="914" w:type="pct"/>
            <w:vAlign w:val="center"/>
          </w:tcPr>
          <w:p w14:paraId="7D4BF7DD" w14:textId="77777777" w:rsidR="007E5BF0" w:rsidRPr="006E128F" w:rsidRDefault="007E5BF0" w:rsidP="0044257C">
            <w:pPr>
              <w:keepNext/>
              <w:widowControl w:val="0"/>
              <w:rPr>
                <w:bCs/>
                <w:sz w:val="20"/>
                <w:szCs w:val="20"/>
              </w:rPr>
            </w:pPr>
            <w:r w:rsidRPr="006E128F">
              <w:rPr>
                <w:bCs/>
                <w:sz w:val="20"/>
                <w:szCs w:val="20"/>
              </w:rPr>
              <w:t>5</w:t>
            </w:r>
          </w:p>
        </w:tc>
        <w:tc>
          <w:tcPr>
            <w:tcW w:w="4086" w:type="pct"/>
            <w:vAlign w:val="center"/>
          </w:tcPr>
          <w:p w14:paraId="6670D30B" w14:textId="77777777" w:rsidR="007E5BF0" w:rsidRPr="006E128F" w:rsidRDefault="007E5BF0" w:rsidP="0044257C">
            <w:pPr>
              <w:keepNext/>
              <w:widowControl w:val="0"/>
              <w:rPr>
                <w:bCs/>
                <w:sz w:val="20"/>
                <w:szCs w:val="20"/>
              </w:rPr>
            </w:pPr>
            <w:r w:rsidRPr="006E128F">
              <w:rPr>
                <w:bCs/>
                <w:sz w:val="20"/>
                <w:szCs w:val="20"/>
              </w:rPr>
              <w:t>Reduce Homelessness</w:t>
            </w:r>
          </w:p>
        </w:tc>
      </w:tr>
    </w:tbl>
    <w:p w14:paraId="3E9EE64B" w14:textId="77777777" w:rsidR="007E5BF0" w:rsidRDefault="007E5BF0" w:rsidP="007E5BF0">
      <w:pPr>
        <w:rPr>
          <w:b/>
          <w:sz w:val="24"/>
          <w:szCs w:val="24"/>
        </w:rPr>
      </w:pPr>
    </w:p>
    <w:p w14:paraId="70F59B7E" w14:textId="77777777" w:rsidR="007E5BF0" w:rsidRDefault="007E5BF0" w:rsidP="007E5BF0">
      <w:pPr>
        <w:pStyle w:val="Heading3"/>
      </w:pPr>
      <w:r w:rsidRPr="009E2AE0">
        <w:t>Describe</w:t>
      </w:r>
      <w:r>
        <w:t xml:space="preserve"> the reasons for allocation priorities and any obstacles to addressing underserved needs</w:t>
      </w:r>
    </w:p>
    <w:p w14:paraId="195B1F38" w14:textId="77777777" w:rsidR="007E5BF0" w:rsidRDefault="007E5BF0" w:rsidP="007E5BF0">
      <w:r>
        <w:t xml:space="preserve">Commerce accepts applications from eligible entities across the state to address underserved needs and provides technical assistance to eligible entities to support successful application submissions. Funded activities are limited to those that are submitted to Commerce for consideration. </w:t>
      </w:r>
    </w:p>
    <w:p w14:paraId="57C9774B" w14:textId="77777777" w:rsidR="007E5BF0" w:rsidRDefault="007E5BF0" w:rsidP="007E5BF0"/>
    <w:p w14:paraId="66F24AD1" w14:textId="77777777" w:rsidR="007E5BF0" w:rsidRPr="00AC4E2C" w:rsidRDefault="007E5BF0" w:rsidP="007E5BF0">
      <w:r>
        <w:lastRenderedPageBreak/>
        <w:t xml:space="preserve">Allocation priorities are set based on information gathered from the Consolidated Plan Needs Assessment and Market Analysis, as well as prior year application submissions and program trends. Because Commerce does not know the types and scopes of applications that will be received during any plan year, it can only estimate funding and anticipate outcomes. Additionally, the CDBG, HOME, and HTF programs are often oversubscribed and, thus, unable to meet all the needs of eligible entities due to limited funding. </w:t>
      </w:r>
    </w:p>
    <w:p w14:paraId="1231A152" w14:textId="77777777" w:rsidR="007E5BF0" w:rsidRPr="008D3EF3" w:rsidRDefault="007E5BF0" w:rsidP="007E5BF0"/>
    <w:p w14:paraId="1506874E" w14:textId="77777777" w:rsidR="007E5BF0" w:rsidRDefault="007E5BF0" w:rsidP="003747A4">
      <w:pPr>
        <w:pStyle w:val="Heading2"/>
      </w:pPr>
      <w:bookmarkStart w:id="73" w:name="_Toc70505042"/>
      <w:bookmarkStart w:id="74" w:name="_Toc72413495"/>
      <w:r>
        <w:t>AP-40 Section 108 Loan Guarantee – 91.320(k)(1)(ii)</w:t>
      </w:r>
      <w:bookmarkEnd w:id="73"/>
      <w:bookmarkEnd w:id="74"/>
    </w:p>
    <w:p w14:paraId="36817DE0" w14:textId="77777777" w:rsidR="007E5BF0" w:rsidRDefault="007E5BF0" w:rsidP="007E5BF0">
      <w:pPr>
        <w:pStyle w:val="Heading3"/>
      </w:pPr>
      <w:r>
        <w:t>Will the state help non-entitlement units of general local government to apply for Section 108 loan funds?</w:t>
      </w:r>
    </w:p>
    <w:p w14:paraId="20C6B93E" w14:textId="77777777" w:rsidR="007E5BF0" w:rsidRDefault="007E5BF0" w:rsidP="007E5BF0">
      <w:r>
        <w:t xml:space="preserve">No. </w:t>
      </w:r>
    </w:p>
    <w:p w14:paraId="02BD4237" w14:textId="77777777" w:rsidR="007E5BF0" w:rsidRDefault="007E5BF0" w:rsidP="007E5BF0"/>
    <w:p w14:paraId="31A1DE6B" w14:textId="5F042BFA" w:rsidR="007E5BF0" w:rsidRDefault="00BC5C9B" w:rsidP="007E5BF0">
      <w:pPr>
        <w:pStyle w:val="Heading3"/>
      </w:pPr>
      <w:r>
        <w:t>Describe available grant amounts</w:t>
      </w:r>
    </w:p>
    <w:p w14:paraId="29DE8FAF" w14:textId="77777777" w:rsidR="007E5BF0" w:rsidRDefault="007E5BF0" w:rsidP="007E5BF0">
      <w:r>
        <w:t xml:space="preserve">Not applicable. </w:t>
      </w:r>
    </w:p>
    <w:p w14:paraId="5A3AEAC3" w14:textId="77777777" w:rsidR="007E5BF0" w:rsidRDefault="007E5BF0" w:rsidP="007E5BF0"/>
    <w:p w14:paraId="214D31E7" w14:textId="088717F2" w:rsidR="007E5BF0" w:rsidRDefault="00BC5C9B" w:rsidP="007E5BF0">
      <w:pPr>
        <w:pStyle w:val="Heading3"/>
      </w:pPr>
      <w:r>
        <w:t>Describe how applications will be accepted</w:t>
      </w:r>
    </w:p>
    <w:p w14:paraId="2630536F" w14:textId="77777777" w:rsidR="009871A4" w:rsidRDefault="007E5BF0" w:rsidP="009871A4">
      <w:r>
        <w:t xml:space="preserve">Not applicable. </w:t>
      </w:r>
      <w:bookmarkStart w:id="75" w:name="_Toc70505043"/>
      <w:bookmarkStart w:id="76" w:name="_Toc72413496"/>
    </w:p>
    <w:p w14:paraId="6764423A" w14:textId="77777777" w:rsidR="009871A4" w:rsidRDefault="009871A4" w:rsidP="009871A4"/>
    <w:p w14:paraId="6E82C213" w14:textId="26FD8857" w:rsidR="007E5BF0" w:rsidRDefault="007E5BF0" w:rsidP="009871A4">
      <w:pPr>
        <w:pStyle w:val="Heading2"/>
      </w:pPr>
      <w:r>
        <w:t>AP-45 Community Revitalization Strategies – 91.320(k)(1)(ii)</w:t>
      </w:r>
      <w:bookmarkEnd w:id="75"/>
      <w:bookmarkEnd w:id="76"/>
    </w:p>
    <w:p w14:paraId="295C4CAA" w14:textId="77777777" w:rsidR="007E5BF0" w:rsidRDefault="007E5BF0" w:rsidP="007E5BF0">
      <w:pPr>
        <w:pStyle w:val="Heading3"/>
      </w:pPr>
      <w:r>
        <w:t>Will the state allow units of general local government to carry out community revitalization strategies?</w:t>
      </w:r>
    </w:p>
    <w:p w14:paraId="54F5CFAD" w14:textId="77777777" w:rsidR="007E5BF0" w:rsidRDefault="007E5BF0" w:rsidP="007E5BF0">
      <w:r>
        <w:t xml:space="preserve">No. </w:t>
      </w:r>
    </w:p>
    <w:p w14:paraId="752D0958" w14:textId="77777777" w:rsidR="007E5BF0" w:rsidRDefault="007E5BF0" w:rsidP="007E5BF0"/>
    <w:p w14:paraId="5BCC6B94" w14:textId="6EB15BD6" w:rsidR="007E5BF0" w:rsidRDefault="00BC5C9B" w:rsidP="007E5BF0">
      <w:pPr>
        <w:pStyle w:val="Heading3"/>
      </w:pPr>
      <w:r>
        <w:t xml:space="preserve">Describe the </w:t>
      </w:r>
      <w:r w:rsidR="007E5BF0">
        <w:t xml:space="preserve">State’s </w:t>
      </w:r>
      <w:r>
        <w:t>p</w:t>
      </w:r>
      <w:r w:rsidR="007E5BF0">
        <w:t xml:space="preserve">rocess and </w:t>
      </w:r>
      <w:r>
        <w:t>c</w:t>
      </w:r>
      <w:r w:rsidR="007E5BF0">
        <w:t>riteria for approving local government revitalization strategies</w:t>
      </w:r>
    </w:p>
    <w:p w14:paraId="4C47FB49" w14:textId="77777777" w:rsidR="007E5BF0" w:rsidRDefault="007E5BF0" w:rsidP="007E5BF0">
      <w:r>
        <w:t>Not applicable.</w:t>
      </w:r>
    </w:p>
    <w:p w14:paraId="007FF64A" w14:textId="77777777" w:rsidR="007E5BF0" w:rsidRPr="008D3EF3" w:rsidRDefault="007E5BF0" w:rsidP="007E5BF0"/>
    <w:p w14:paraId="48183565" w14:textId="77777777" w:rsidR="007E5BF0" w:rsidRDefault="007E5BF0" w:rsidP="003747A4">
      <w:pPr>
        <w:pStyle w:val="Heading2"/>
      </w:pPr>
      <w:bookmarkStart w:id="77" w:name="_Toc70505044"/>
      <w:bookmarkStart w:id="78" w:name="_Toc72413497"/>
      <w:r>
        <w:t>AP-50 Geographic Distribution – 91.320(f)</w:t>
      </w:r>
      <w:bookmarkEnd w:id="77"/>
      <w:bookmarkEnd w:id="78"/>
    </w:p>
    <w:p w14:paraId="63C54C97" w14:textId="77777777" w:rsidR="007E5BF0" w:rsidRDefault="007E5BF0" w:rsidP="007E5BF0">
      <w:pPr>
        <w:pStyle w:val="Heading3"/>
      </w:pPr>
      <w:r>
        <w:t xml:space="preserve">Description of the geographic areas of the state (including areas of low-income and minority concentration) where assistance will be directed </w:t>
      </w:r>
    </w:p>
    <w:p w14:paraId="23182D8D" w14:textId="56A1265B" w:rsidR="007E5BF0" w:rsidRDefault="13302DC8" w:rsidP="007E5BF0">
      <w:r>
        <w:t>T</w:t>
      </w:r>
      <w:r w:rsidR="15D4CFDC">
        <w:t xml:space="preserve">he State of Montana will not target any </w:t>
      </w:r>
      <w:proofErr w:type="gramStart"/>
      <w:r w:rsidR="15D4CFDC">
        <w:t>particular geographic</w:t>
      </w:r>
      <w:proofErr w:type="gramEnd"/>
      <w:r w:rsidR="15D4CFDC">
        <w:t xml:space="preserve"> area for special assistance. However, the State will allow any non-entitlement community to apply for CDBG</w:t>
      </w:r>
      <w:r w:rsidR="48BE1A95">
        <w:t>;</w:t>
      </w:r>
      <w:r w:rsidR="15D4CFDC">
        <w:t xml:space="preserve"> all communities</w:t>
      </w:r>
      <w:r w:rsidR="500467C7">
        <w:t xml:space="preserve">, </w:t>
      </w:r>
      <w:r w:rsidR="15D4CFDC">
        <w:t xml:space="preserve">nonprofits </w:t>
      </w:r>
      <w:r w:rsidR="500467C7">
        <w:t xml:space="preserve">and eligible developers </w:t>
      </w:r>
      <w:r w:rsidR="15D4CFDC">
        <w:t>to apply for HOME</w:t>
      </w:r>
      <w:r w:rsidR="74F24DCA">
        <w:t>;</w:t>
      </w:r>
      <w:r w:rsidR="15D4CFDC">
        <w:t xml:space="preserve"> and entitlement communities</w:t>
      </w:r>
      <w:r w:rsidR="500467C7">
        <w:t xml:space="preserve">, </w:t>
      </w:r>
      <w:r w:rsidR="15D4CFDC">
        <w:t xml:space="preserve">nonprofits </w:t>
      </w:r>
      <w:r w:rsidR="500467C7">
        <w:t xml:space="preserve">and eligible developers </w:t>
      </w:r>
      <w:r w:rsidR="15D4CFDC">
        <w:t xml:space="preserve">to apply for HTF funding, dependent on eligible activities and programs. Entitlement communities may apply for HOME funds if their project demonstrates clear segregation between State-assisted units and Entitlement-assisted units. ESG funds are distributed throughout the state. </w:t>
      </w:r>
    </w:p>
    <w:p w14:paraId="719834E4" w14:textId="77777777" w:rsidR="007E5BF0" w:rsidRDefault="007E5BF0" w:rsidP="007E5BF0"/>
    <w:p w14:paraId="3D06CB61" w14:textId="77777777" w:rsidR="007E5BF0" w:rsidRDefault="007E5BF0" w:rsidP="007E5BF0">
      <w:pPr>
        <w:pStyle w:val="Heading3"/>
      </w:pPr>
      <w:r>
        <w:t>Geographic Distribution</w:t>
      </w:r>
    </w:p>
    <w:p w14:paraId="48B519E9" w14:textId="3731DEAF" w:rsidR="007E5BF0" w:rsidRPr="00D72240" w:rsidRDefault="007E5BF0" w:rsidP="007E5BF0">
      <w:r>
        <w:t xml:space="preserve">Because the State of Montana does not have geographic priorities for any of its federally funded CPD programs, data are not provided in </w:t>
      </w:r>
      <w:r w:rsidRPr="00E552B5">
        <w:rPr>
          <w:b/>
          <w:bCs/>
        </w:rPr>
        <w:t xml:space="preserve">Table </w:t>
      </w:r>
      <w:r w:rsidR="0056587A">
        <w:rPr>
          <w:b/>
          <w:bCs/>
        </w:rPr>
        <w:t>10</w:t>
      </w:r>
      <w:r>
        <w:t xml:space="preserve">. </w:t>
      </w:r>
    </w:p>
    <w:p w14:paraId="66AFD908" w14:textId="77777777" w:rsidR="007E5BF0" w:rsidRDefault="007E5BF0" w:rsidP="007E5BF0"/>
    <w:p w14:paraId="0325FC80" w14:textId="0BA9E03B" w:rsidR="007E5BF0" w:rsidRDefault="007E5BF0" w:rsidP="007E5BF0">
      <w:pPr>
        <w:pStyle w:val="TableCaption"/>
      </w:pPr>
      <w:bookmarkStart w:id="79" w:name="_Toc56449320"/>
      <w:bookmarkStart w:id="80" w:name="_Toc61552612"/>
      <w:bookmarkStart w:id="81" w:name="_Toc70505201"/>
      <w:bookmarkStart w:id="82" w:name="_Toc73081449"/>
      <w:r>
        <w:t xml:space="preserve">Table </w:t>
      </w:r>
      <w:r w:rsidR="0056587A">
        <w:t>10</w:t>
      </w:r>
      <w:r>
        <w:t xml:space="preserve"> – Geographic Distribution</w:t>
      </w:r>
      <w:bookmarkEnd w:id="79"/>
      <w:bookmarkEnd w:id="80"/>
      <w:bookmarkEnd w:id="81"/>
      <w:bookmarkEnd w:id="82"/>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Geographic Distribution (Table 10)"/>
        <w:tblDescription w:val="This table, which is not applicable because Montana does not have geographic priorities, shows the percentage of funds distributed by geography."/>
      </w:tblPr>
      <w:tblGrid>
        <w:gridCol w:w="3575"/>
        <w:gridCol w:w="5775"/>
      </w:tblGrid>
      <w:tr w:rsidR="007E5BF0" w14:paraId="1C20CBB9" w14:textId="77777777" w:rsidTr="0044257C">
        <w:trPr>
          <w:cantSplit/>
          <w:tblHeader/>
        </w:trPr>
        <w:tc>
          <w:tcPr>
            <w:tcW w:w="1912" w:type="pct"/>
            <w:shd w:val="clear" w:color="auto" w:fill="C5D4D5"/>
            <w:vAlign w:val="center"/>
          </w:tcPr>
          <w:p w14:paraId="63545FE3" w14:textId="77777777" w:rsidR="007E5BF0" w:rsidRPr="006E128F" w:rsidRDefault="007E5BF0" w:rsidP="0044257C">
            <w:pPr>
              <w:keepNext/>
              <w:widowControl w:val="0"/>
              <w:rPr>
                <w:bCs/>
                <w:sz w:val="20"/>
                <w:szCs w:val="20"/>
              </w:rPr>
            </w:pPr>
            <w:r w:rsidRPr="006E128F">
              <w:rPr>
                <w:bCs/>
                <w:sz w:val="20"/>
                <w:szCs w:val="20"/>
              </w:rPr>
              <w:t>Target Area</w:t>
            </w:r>
          </w:p>
        </w:tc>
        <w:tc>
          <w:tcPr>
            <w:tcW w:w="3088" w:type="pct"/>
            <w:shd w:val="clear" w:color="auto" w:fill="C5D4D5"/>
            <w:vAlign w:val="center"/>
          </w:tcPr>
          <w:p w14:paraId="36EF79CF" w14:textId="77777777" w:rsidR="007E5BF0" w:rsidRPr="006E128F" w:rsidRDefault="007E5BF0" w:rsidP="0044257C">
            <w:pPr>
              <w:keepNext/>
              <w:widowControl w:val="0"/>
              <w:jc w:val="center"/>
              <w:rPr>
                <w:bCs/>
                <w:sz w:val="20"/>
                <w:szCs w:val="20"/>
              </w:rPr>
            </w:pPr>
            <w:r w:rsidRPr="006E128F">
              <w:rPr>
                <w:bCs/>
                <w:sz w:val="20"/>
                <w:szCs w:val="20"/>
              </w:rPr>
              <w:t>Percentage of Funds</w:t>
            </w:r>
          </w:p>
        </w:tc>
      </w:tr>
      <w:tr w:rsidR="007E5BF0" w14:paraId="56A0694A" w14:textId="77777777" w:rsidTr="0044257C">
        <w:trPr>
          <w:cantSplit/>
          <w:tblHeader/>
        </w:trPr>
        <w:tc>
          <w:tcPr>
            <w:tcW w:w="1912" w:type="pct"/>
            <w:vAlign w:val="center"/>
          </w:tcPr>
          <w:p w14:paraId="313443A9" w14:textId="264005C6" w:rsidR="007E5BF0" w:rsidRPr="006E128F" w:rsidRDefault="00BC5C9B" w:rsidP="0044257C">
            <w:pPr>
              <w:keepNext/>
              <w:widowControl w:val="0"/>
              <w:rPr>
                <w:bCs/>
                <w:sz w:val="20"/>
                <w:szCs w:val="20"/>
              </w:rPr>
            </w:pPr>
            <w:r>
              <w:rPr>
                <w:bCs/>
                <w:sz w:val="20"/>
                <w:szCs w:val="20"/>
              </w:rPr>
              <w:t>N/A</w:t>
            </w:r>
          </w:p>
        </w:tc>
        <w:tc>
          <w:tcPr>
            <w:tcW w:w="3088" w:type="pct"/>
            <w:vAlign w:val="center"/>
          </w:tcPr>
          <w:p w14:paraId="3D1480DD" w14:textId="22D6B5F1" w:rsidR="007E5BF0" w:rsidRPr="006E128F" w:rsidRDefault="00BC5C9B" w:rsidP="0044257C">
            <w:pPr>
              <w:keepNext/>
              <w:widowControl w:val="0"/>
              <w:jc w:val="center"/>
              <w:rPr>
                <w:bCs/>
                <w:sz w:val="20"/>
                <w:szCs w:val="20"/>
              </w:rPr>
            </w:pPr>
            <w:r>
              <w:rPr>
                <w:bCs/>
                <w:sz w:val="20"/>
                <w:szCs w:val="20"/>
              </w:rPr>
              <w:t>N/A</w:t>
            </w:r>
          </w:p>
        </w:tc>
      </w:tr>
    </w:tbl>
    <w:p w14:paraId="62F40EE7" w14:textId="77777777" w:rsidR="007E5BF0" w:rsidRDefault="007E5BF0" w:rsidP="007E5BF0"/>
    <w:p w14:paraId="47EC97A6" w14:textId="77777777" w:rsidR="007E5BF0" w:rsidRDefault="007E5BF0" w:rsidP="007E5BF0">
      <w:pPr>
        <w:pStyle w:val="Heading3"/>
      </w:pPr>
      <w:r>
        <w:lastRenderedPageBreak/>
        <w:t xml:space="preserve">Rationale for the priorities for allocating investments geographically </w:t>
      </w:r>
    </w:p>
    <w:p w14:paraId="5A828C13" w14:textId="77777777" w:rsidR="007E5BF0" w:rsidRDefault="007E5BF0" w:rsidP="007E5BF0">
      <w:r>
        <w:t xml:space="preserve">Not applicable. </w:t>
      </w:r>
    </w:p>
    <w:p w14:paraId="5D44ADC3" w14:textId="77777777" w:rsidR="007E5BF0" w:rsidRDefault="007E5BF0" w:rsidP="007E5BF0"/>
    <w:p w14:paraId="2ECAEB28" w14:textId="77777777" w:rsidR="007E5BF0" w:rsidRDefault="007E5BF0" w:rsidP="007E5BF0">
      <w:pPr>
        <w:pStyle w:val="Heading3"/>
      </w:pPr>
      <w:r>
        <w:t>Discussion</w:t>
      </w:r>
    </w:p>
    <w:p w14:paraId="39AC24CA" w14:textId="77777777" w:rsidR="007E5BF0" w:rsidRDefault="007E5BF0" w:rsidP="007E5BF0">
      <w:r>
        <w:t>Not applicable.</w:t>
      </w:r>
    </w:p>
    <w:p w14:paraId="1C0C2942" w14:textId="77777777" w:rsidR="007E5BF0" w:rsidRPr="008D3EF3" w:rsidRDefault="007E5BF0" w:rsidP="007E5BF0"/>
    <w:p w14:paraId="672BD62B" w14:textId="77777777" w:rsidR="007E5BF0" w:rsidRDefault="007E5BF0" w:rsidP="003747A4">
      <w:pPr>
        <w:pStyle w:val="Heading2"/>
        <w:rPr>
          <w:i/>
        </w:rPr>
      </w:pPr>
      <w:bookmarkStart w:id="83" w:name="_Toc70505046"/>
      <w:bookmarkStart w:id="84" w:name="_Toc72413498"/>
      <w:r>
        <w:t>AP-55 Affordable Housing – 24 CFR 91.320(g)</w:t>
      </w:r>
      <w:bookmarkEnd w:id="83"/>
      <w:bookmarkEnd w:id="84"/>
    </w:p>
    <w:p w14:paraId="17C418C0" w14:textId="77777777" w:rsidR="007E5BF0" w:rsidRDefault="007E5BF0" w:rsidP="007E5BF0">
      <w:pPr>
        <w:pStyle w:val="Heading3"/>
      </w:pPr>
      <w:r>
        <w:t xml:space="preserve">Introduction </w:t>
      </w:r>
    </w:p>
    <w:p w14:paraId="417E08CC" w14:textId="77777777" w:rsidR="009871A4" w:rsidRDefault="1664CBFB" w:rsidP="009871A4">
      <w:r w:rsidRPr="6EE14823">
        <w:rPr>
          <w:b/>
          <w:bCs/>
        </w:rPr>
        <w:t xml:space="preserve">Tables </w:t>
      </w:r>
      <w:r w:rsidR="18BD5CEE" w:rsidRPr="6EE14823">
        <w:rPr>
          <w:b/>
          <w:bCs/>
        </w:rPr>
        <w:t>1</w:t>
      </w:r>
      <w:r w:rsidR="77861FCE" w:rsidRPr="6EE14823">
        <w:rPr>
          <w:b/>
          <w:bCs/>
        </w:rPr>
        <w:t>1</w:t>
      </w:r>
      <w:r>
        <w:t xml:space="preserve"> and </w:t>
      </w:r>
      <w:r w:rsidR="18BD5CEE" w:rsidRPr="6EE14823">
        <w:rPr>
          <w:b/>
          <w:bCs/>
        </w:rPr>
        <w:t>1</w:t>
      </w:r>
      <w:r w:rsidR="77861FCE" w:rsidRPr="6EE14823">
        <w:rPr>
          <w:b/>
          <w:bCs/>
        </w:rPr>
        <w:t>2</w:t>
      </w:r>
      <w:r>
        <w:t xml:space="preserve"> summarize Montana’s 1-year goals for </w:t>
      </w:r>
      <w:proofErr w:type="gramStart"/>
      <w:r>
        <w:t>a number of</w:t>
      </w:r>
      <w:proofErr w:type="gramEnd"/>
      <w:r>
        <w:t xml:space="preserve"> categories that relate to affordable housing. These goals are related only to the federal resources provided through CDBG, HOME, HTF, and ESG, and do not include numbers for those persons assisted through other federal or state resources.</w:t>
      </w:r>
      <w:bookmarkStart w:id="85" w:name="_Toc56449321"/>
      <w:bookmarkStart w:id="86" w:name="_Toc61552613"/>
      <w:bookmarkStart w:id="87" w:name="_Toc70505202"/>
      <w:bookmarkStart w:id="88" w:name="_Toc73081450"/>
    </w:p>
    <w:p w14:paraId="5CD7B5E3" w14:textId="77777777" w:rsidR="009871A4" w:rsidRDefault="009871A4" w:rsidP="009871A4"/>
    <w:p w14:paraId="69778444" w14:textId="1B245B85" w:rsidR="007E5BF0" w:rsidRDefault="15D4CFDC" w:rsidP="009871A4">
      <w:pPr>
        <w:pStyle w:val="TableCaption"/>
      </w:pPr>
      <w:r>
        <w:t xml:space="preserve">Table </w:t>
      </w:r>
      <w:r w:rsidR="2DBDF1DF">
        <w:t>1</w:t>
      </w:r>
      <w:r w:rsidR="6E421331">
        <w:t>1</w:t>
      </w:r>
      <w:r>
        <w:t xml:space="preserve"> – 1-Year Goals for Affordable Housing by Support Requirement</w:t>
      </w:r>
      <w:bookmarkEnd w:id="85"/>
      <w:bookmarkEnd w:id="86"/>
      <w:bookmarkEnd w:id="87"/>
      <w:bookmarkEnd w:id="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Year Goals for Affordable Housing by Support Requirement (Table 11)"/>
        <w:tblDescription w:val="This table shows 1-year goals for affordable housing by support requirement. "/>
      </w:tblPr>
      <w:tblGrid>
        <w:gridCol w:w="7011"/>
        <w:gridCol w:w="2339"/>
      </w:tblGrid>
      <w:tr w:rsidR="007E5BF0" w:rsidRPr="006E128F" w14:paraId="6A7CB029" w14:textId="77777777" w:rsidTr="6EE14823">
        <w:trPr>
          <w:cantSplit/>
          <w:tblHeader/>
        </w:trPr>
        <w:tc>
          <w:tcPr>
            <w:tcW w:w="5000" w:type="pct"/>
            <w:gridSpan w:val="2"/>
            <w:shd w:val="clear" w:color="auto" w:fill="C5D4D5"/>
          </w:tcPr>
          <w:p w14:paraId="291A2150" w14:textId="77777777" w:rsidR="007E5BF0" w:rsidRPr="006E128F" w:rsidRDefault="007E5BF0" w:rsidP="0044257C">
            <w:pPr>
              <w:keepNext/>
              <w:widowControl w:val="0"/>
              <w:jc w:val="center"/>
              <w:rPr>
                <w:bCs/>
                <w:sz w:val="20"/>
                <w:szCs w:val="20"/>
              </w:rPr>
            </w:pPr>
            <w:r>
              <w:rPr>
                <w:bCs/>
                <w:sz w:val="20"/>
                <w:szCs w:val="20"/>
              </w:rPr>
              <w:t>1-</w:t>
            </w:r>
            <w:r w:rsidRPr="006E128F">
              <w:rPr>
                <w:bCs/>
                <w:sz w:val="20"/>
                <w:szCs w:val="20"/>
              </w:rPr>
              <w:t>Year Goals for the Number of Households to be Supported</w:t>
            </w:r>
          </w:p>
        </w:tc>
      </w:tr>
      <w:tr w:rsidR="007E5BF0" w:rsidRPr="006E128F" w14:paraId="465D6664" w14:textId="77777777" w:rsidTr="6EE14823">
        <w:trPr>
          <w:cantSplit/>
        </w:trPr>
        <w:tc>
          <w:tcPr>
            <w:tcW w:w="3749" w:type="pct"/>
          </w:tcPr>
          <w:p w14:paraId="4C7EF447" w14:textId="77777777" w:rsidR="007E5BF0" w:rsidRPr="006E128F" w:rsidRDefault="007E5BF0" w:rsidP="450D1264">
            <w:pPr>
              <w:keepNext/>
              <w:widowControl w:val="0"/>
              <w:rPr>
                <w:sz w:val="20"/>
                <w:szCs w:val="20"/>
              </w:rPr>
            </w:pPr>
            <w:r w:rsidRPr="450D1264">
              <w:rPr>
                <w:sz w:val="20"/>
                <w:szCs w:val="20"/>
              </w:rPr>
              <w:t>Homeless</w:t>
            </w:r>
          </w:p>
        </w:tc>
        <w:tc>
          <w:tcPr>
            <w:tcW w:w="1251" w:type="pct"/>
            <w:vAlign w:val="center"/>
          </w:tcPr>
          <w:p w14:paraId="3D6E2A66" w14:textId="65A4ADC7" w:rsidR="007E5BF0" w:rsidRPr="00E102B7" w:rsidRDefault="5F3D81D6" w:rsidP="450D1264">
            <w:pPr>
              <w:keepNext/>
              <w:widowControl w:val="0"/>
              <w:jc w:val="right"/>
              <w:rPr>
                <w:sz w:val="20"/>
                <w:szCs w:val="20"/>
              </w:rPr>
            </w:pPr>
            <w:r w:rsidRPr="48690CAE">
              <w:rPr>
                <w:sz w:val="20"/>
                <w:szCs w:val="20"/>
              </w:rPr>
              <w:t xml:space="preserve">120 </w:t>
            </w:r>
          </w:p>
        </w:tc>
      </w:tr>
      <w:tr w:rsidR="007E5BF0" w:rsidRPr="006E128F" w14:paraId="53886021" w14:textId="77777777" w:rsidTr="6EE14823">
        <w:trPr>
          <w:cantSplit/>
        </w:trPr>
        <w:tc>
          <w:tcPr>
            <w:tcW w:w="3749" w:type="pct"/>
          </w:tcPr>
          <w:p w14:paraId="082DF448" w14:textId="77777777" w:rsidR="007E5BF0" w:rsidRPr="006E128F" w:rsidRDefault="007E5BF0" w:rsidP="450D1264">
            <w:pPr>
              <w:keepNext/>
              <w:widowControl w:val="0"/>
              <w:rPr>
                <w:sz w:val="20"/>
                <w:szCs w:val="20"/>
              </w:rPr>
            </w:pPr>
            <w:r w:rsidRPr="450D1264">
              <w:rPr>
                <w:sz w:val="20"/>
                <w:szCs w:val="20"/>
              </w:rPr>
              <w:t>Non-Homeless</w:t>
            </w:r>
          </w:p>
        </w:tc>
        <w:tc>
          <w:tcPr>
            <w:tcW w:w="1251" w:type="pct"/>
            <w:vAlign w:val="center"/>
          </w:tcPr>
          <w:p w14:paraId="66011B7C" w14:textId="46AE9D89" w:rsidR="007E5BF0" w:rsidRPr="00E102B7" w:rsidRDefault="50D5CF8D" w:rsidP="450D1264">
            <w:pPr>
              <w:keepNext/>
              <w:widowControl w:val="0"/>
              <w:jc w:val="right"/>
              <w:rPr>
                <w:sz w:val="20"/>
                <w:szCs w:val="20"/>
              </w:rPr>
            </w:pPr>
            <w:r w:rsidRPr="12909959">
              <w:rPr>
                <w:sz w:val="20"/>
                <w:szCs w:val="20"/>
              </w:rPr>
              <w:t>57</w:t>
            </w:r>
          </w:p>
        </w:tc>
      </w:tr>
      <w:tr w:rsidR="007E5BF0" w:rsidRPr="006E128F" w14:paraId="7183F5B2" w14:textId="77777777" w:rsidTr="6EE14823">
        <w:trPr>
          <w:cantSplit/>
        </w:trPr>
        <w:tc>
          <w:tcPr>
            <w:tcW w:w="3749" w:type="pct"/>
          </w:tcPr>
          <w:p w14:paraId="31DCA409" w14:textId="77777777" w:rsidR="007E5BF0" w:rsidRPr="006E128F" w:rsidRDefault="007E5BF0" w:rsidP="450D1264">
            <w:pPr>
              <w:keepNext/>
              <w:widowControl w:val="0"/>
              <w:rPr>
                <w:sz w:val="20"/>
                <w:szCs w:val="20"/>
              </w:rPr>
            </w:pPr>
            <w:r w:rsidRPr="450D1264">
              <w:rPr>
                <w:sz w:val="20"/>
                <w:szCs w:val="20"/>
              </w:rPr>
              <w:t>Special-Needs</w:t>
            </w:r>
          </w:p>
        </w:tc>
        <w:tc>
          <w:tcPr>
            <w:tcW w:w="1251" w:type="pct"/>
            <w:vAlign w:val="center"/>
          </w:tcPr>
          <w:p w14:paraId="788DC322" w14:textId="798C933C" w:rsidR="007E5BF0" w:rsidRPr="00E102B7" w:rsidRDefault="47E884C1" w:rsidP="450D1264">
            <w:pPr>
              <w:keepNext/>
              <w:widowControl w:val="0"/>
              <w:jc w:val="right"/>
              <w:rPr>
                <w:sz w:val="20"/>
                <w:szCs w:val="20"/>
              </w:rPr>
            </w:pPr>
            <w:r w:rsidRPr="12909959">
              <w:rPr>
                <w:sz w:val="20"/>
                <w:szCs w:val="20"/>
              </w:rPr>
              <w:t>10</w:t>
            </w:r>
          </w:p>
        </w:tc>
      </w:tr>
      <w:tr w:rsidR="007E5BF0" w:rsidRPr="006E128F" w14:paraId="37ACD3D6" w14:textId="77777777" w:rsidTr="6EE14823">
        <w:trPr>
          <w:cantSplit/>
        </w:trPr>
        <w:tc>
          <w:tcPr>
            <w:tcW w:w="3749" w:type="pct"/>
          </w:tcPr>
          <w:p w14:paraId="6E75A1BA" w14:textId="77777777" w:rsidR="007E5BF0" w:rsidRPr="006E128F" w:rsidRDefault="389C650B" w:rsidP="450D1264">
            <w:pPr>
              <w:keepNext/>
              <w:widowControl w:val="0"/>
              <w:rPr>
                <w:sz w:val="20"/>
                <w:szCs w:val="20"/>
              </w:rPr>
            </w:pPr>
            <w:r w:rsidRPr="6EE14823">
              <w:rPr>
                <w:sz w:val="20"/>
                <w:szCs w:val="20"/>
              </w:rPr>
              <w:t>Total</w:t>
            </w:r>
          </w:p>
        </w:tc>
        <w:tc>
          <w:tcPr>
            <w:tcW w:w="1251" w:type="pct"/>
            <w:vAlign w:val="center"/>
          </w:tcPr>
          <w:p w14:paraId="31CA4459" w14:textId="17B364A2" w:rsidR="007E5BF0" w:rsidRPr="00E102B7" w:rsidRDefault="3113247F" w:rsidP="450D1264">
            <w:pPr>
              <w:keepNext/>
              <w:widowControl w:val="0"/>
              <w:jc w:val="right"/>
              <w:rPr>
                <w:sz w:val="20"/>
                <w:szCs w:val="20"/>
              </w:rPr>
            </w:pPr>
            <w:r w:rsidRPr="48690CAE">
              <w:rPr>
                <w:sz w:val="20"/>
                <w:szCs w:val="20"/>
              </w:rPr>
              <w:t xml:space="preserve">187 </w:t>
            </w:r>
          </w:p>
        </w:tc>
      </w:tr>
    </w:tbl>
    <w:p w14:paraId="7C4799D9" w14:textId="77777777" w:rsidR="007E5BF0" w:rsidRPr="00F17191" w:rsidRDefault="007E5BF0" w:rsidP="007E5BF0"/>
    <w:p w14:paraId="61E60341" w14:textId="691051C2" w:rsidR="007E5BF0" w:rsidRDefault="15D4CFDC" w:rsidP="007E5BF0">
      <w:pPr>
        <w:pStyle w:val="TableCaption"/>
      </w:pPr>
      <w:bookmarkStart w:id="89" w:name="_Toc56449322"/>
      <w:bookmarkStart w:id="90" w:name="_Toc61552614"/>
      <w:bookmarkStart w:id="91" w:name="_Toc70505203"/>
      <w:bookmarkStart w:id="92" w:name="_Toc73081451"/>
      <w:r>
        <w:t xml:space="preserve">Table </w:t>
      </w:r>
      <w:r w:rsidR="2DBDF1DF">
        <w:t>1</w:t>
      </w:r>
      <w:r w:rsidR="6E421331">
        <w:t>2</w:t>
      </w:r>
      <w:r>
        <w:t xml:space="preserve"> – 1-Year Goals for Affordable Housing by Support Type</w:t>
      </w:r>
      <w:bookmarkEnd w:id="89"/>
      <w:bookmarkEnd w:id="90"/>
      <w:bookmarkEnd w:id="91"/>
      <w:bookmarkEnd w:id="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1-Year Goals for Affordable Housing by Support Type (Table 12)"/>
        <w:tblDescription w:val="This table shows the 1-year goals for affordable housing by support type. "/>
      </w:tblPr>
      <w:tblGrid>
        <w:gridCol w:w="7011"/>
        <w:gridCol w:w="2339"/>
      </w:tblGrid>
      <w:tr w:rsidR="007E5BF0" w:rsidRPr="00F17191" w14:paraId="3AD3C40D" w14:textId="77777777" w:rsidTr="6EE14823">
        <w:trPr>
          <w:cantSplit/>
          <w:tblHeader/>
        </w:trPr>
        <w:tc>
          <w:tcPr>
            <w:tcW w:w="5000" w:type="pct"/>
            <w:gridSpan w:val="2"/>
            <w:shd w:val="clear" w:color="auto" w:fill="C5D4D5"/>
          </w:tcPr>
          <w:p w14:paraId="5017C455" w14:textId="77777777" w:rsidR="007E5BF0" w:rsidRPr="006E128F" w:rsidRDefault="007E5BF0" w:rsidP="450D1264">
            <w:pPr>
              <w:keepNext/>
              <w:widowControl w:val="0"/>
              <w:jc w:val="center"/>
              <w:rPr>
                <w:sz w:val="20"/>
                <w:szCs w:val="20"/>
              </w:rPr>
            </w:pPr>
            <w:r w:rsidRPr="450D1264">
              <w:rPr>
                <w:sz w:val="20"/>
                <w:szCs w:val="20"/>
              </w:rPr>
              <w:t>1-Year Goals for the Number of Households Supported Through</w:t>
            </w:r>
          </w:p>
        </w:tc>
      </w:tr>
      <w:tr w:rsidR="007E5BF0" w:rsidRPr="00F17191" w14:paraId="02D00F27" w14:textId="77777777" w:rsidTr="6EE14823">
        <w:trPr>
          <w:cantSplit/>
        </w:trPr>
        <w:tc>
          <w:tcPr>
            <w:tcW w:w="3749" w:type="pct"/>
          </w:tcPr>
          <w:p w14:paraId="6914F206" w14:textId="77777777" w:rsidR="007E5BF0" w:rsidRPr="006E128F" w:rsidRDefault="007E5BF0" w:rsidP="450D1264">
            <w:pPr>
              <w:keepNext/>
              <w:widowControl w:val="0"/>
              <w:rPr>
                <w:sz w:val="20"/>
                <w:szCs w:val="20"/>
              </w:rPr>
            </w:pPr>
            <w:r w:rsidRPr="450D1264">
              <w:rPr>
                <w:sz w:val="20"/>
                <w:szCs w:val="20"/>
              </w:rPr>
              <w:t>Rental Assistance</w:t>
            </w:r>
          </w:p>
        </w:tc>
        <w:tc>
          <w:tcPr>
            <w:tcW w:w="1251" w:type="pct"/>
            <w:vAlign w:val="center"/>
          </w:tcPr>
          <w:p w14:paraId="6395BF12" w14:textId="58285A64" w:rsidR="007E5BF0" w:rsidRPr="00E102B7" w:rsidRDefault="3E4F9C05" w:rsidP="450D1264">
            <w:pPr>
              <w:keepNext/>
              <w:widowControl w:val="0"/>
              <w:jc w:val="right"/>
              <w:rPr>
                <w:sz w:val="20"/>
                <w:szCs w:val="20"/>
              </w:rPr>
            </w:pPr>
            <w:r w:rsidRPr="48690CAE">
              <w:rPr>
                <w:sz w:val="20"/>
                <w:szCs w:val="20"/>
              </w:rPr>
              <w:t xml:space="preserve">100 </w:t>
            </w:r>
          </w:p>
        </w:tc>
      </w:tr>
      <w:tr w:rsidR="007E5BF0" w:rsidRPr="00F17191" w14:paraId="26989D78" w14:textId="77777777" w:rsidTr="6EE14823">
        <w:trPr>
          <w:cantSplit/>
        </w:trPr>
        <w:tc>
          <w:tcPr>
            <w:tcW w:w="3749" w:type="pct"/>
          </w:tcPr>
          <w:p w14:paraId="02E1F714" w14:textId="77777777" w:rsidR="007E5BF0" w:rsidRPr="006E128F" w:rsidRDefault="007E5BF0" w:rsidP="450D1264">
            <w:pPr>
              <w:keepNext/>
              <w:widowControl w:val="0"/>
              <w:rPr>
                <w:sz w:val="20"/>
                <w:szCs w:val="20"/>
              </w:rPr>
            </w:pPr>
            <w:r w:rsidRPr="450D1264">
              <w:rPr>
                <w:sz w:val="20"/>
                <w:szCs w:val="20"/>
              </w:rPr>
              <w:t>The Production of New Units</w:t>
            </w:r>
          </w:p>
        </w:tc>
        <w:tc>
          <w:tcPr>
            <w:tcW w:w="1251" w:type="pct"/>
            <w:vAlign w:val="center"/>
          </w:tcPr>
          <w:p w14:paraId="31D07EAE" w14:textId="1F20895E" w:rsidR="007E5BF0" w:rsidRPr="00E102B7" w:rsidRDefault="76619AA6" w:rsidP="450D1264">
            <w:pPr>
              <w:keepNext/>
              <w:widowControl w:val="0"/>
              <w:jc w:val="right"/>
              <w:rPr>
                <w:sz w:val="20"/>
                <w:szCs w:val="20"/>
              </w:rPr>
            </w:pPr>
            <w:r w:rsidRPr="12909959">
              <w:rPr>
                <w:sz w:val="20"/>
                <w:szCs w:val="20"/>
              </w:rPr>
              <w:t>32</w:t>
            </w:r>
          </w:p>
        </w:tc>
      </w:tr>
      <w:tr w:rsidR="007E5BF0" w:rsidRPr="00F17191" w14:paraId="6005AF97" w14:textId="77777777" w:rsidTr="6EE14823">
        <w:trPr>
          <w:cantSplit/>
        </w:trPr>
        <w:tc>
          <w:tcPr>
            <w:tcW w:w="3749" w:type="pct"/>
          </w:tcPr>
          <w:p w14:paraId="47DDC2A2" w14:textId="77777777" w:rsidR="007E5BF0" w:rsidRPr="006E128F" w:rsidRDefault="007E5BF0" w:rsidP="450D1264">
            <w:pPr>
              <w:keepNext/>
              <w:widowControl w:val="0"/>
              <w:rPr>
                <w:sz w:val="20"/>
                <w:szCs w:val="20"/>
              </w:rPr>
            </w:pPr>
            <w:r w:rsidRPr="450D1264">
              <w:rPr>
                <w:sz w:val="20"/>
                <w:szCs w:val="20"/>
              </w:rPr>
              <w:t>Rehab of Existing Units</w:t>
            </w:r>
          </w:p>
        </w:tc>
        <w:tc>
          <w:tcPr>
            <w:tcW w:w="1251" w:type="pct"/>
            <w:vAlign w:val="center"/>
          </w:tcPr>
          <w:p w14:paraId="2180A9FA" w14:textId="3E42A939" w:rsidR="007E5BF0" w:rsidRPr="00E102B7" w:rsidRDefault="054D2A35">
            <w:pPr>
              <w:keepNext/>
              <w:widowControl w:val="0"/>
              <w:jc w:val="right"/>
              <w:rPr>
                <w:sz w:val="20"/>
                <w:szCs w:val="20"/>
              </w:rPr>
            </w:pPr>
            <w:r w:rsidRPr="12909959">
              <w:rPr>
                <w:sz w:val="20"/>
                <w:szCs w:val="20"/>
              </w:rPr>
              <w:t>45</w:t>
            </w:r>
          </w:p>
        </w:tc>
      </w:tr>
      <w:tr w:rsidR="007E5BF0" w:rsidRPr="00F17191" w14:paraId="475B6F7A" w14:textId="77777777" w:rsidTr="6EE14823">
        <w:trPr>
          <w:cantSplit/>
        </w:trPr>
        <w:tc>
          <w:tcPr>
            <w:tcW w:w="3749" w:type="pct"/>
          </w:tcPr>
          <w:p w14:paraId="552E108A" w14:textId="77777777" w:rsidR="007E5BF0" w:rsidRPr="006E128F" w:rsidRDefault="007E5BF0" w:rsidP="450D1264">
            <w:pPr>
              <w:keepNext/>
              <w:widowControl w:val="0"/>
              <w:rPr>
                <w:sz w:val="20"/>
                <w:szCs w:val="20"/>
              </w:rPr>
            </w:pPr>
            <w:r w:rsidRPr="450D1264">
              <w:rPr>
                <w:sz w:val="20"/>
                <w:szCs w:val="20"/>
              </w:rPr>
              <w:t>Acquisition of Existing Units</w:t>
            </w:r>
          </w:p>
        </w:tc>
        <w:tc>
          <w:tcPr>
            <w:tcW w:w="1251" w:type="pct"/>
            <w:vAlign w:val="center"/>
          </w:tcPr>
          <w:p w14:paraId="633D726B" w14:textId="50677FAF" w:rsidR="007E5BF0" w:rsidRPr="00E102B7" w:rsidRDefault="47272A04">
            <w:pPr>
              <w:keepNext/>
              <w:widowControl w:val="0"/>
              <w:jc w:val="right"/>
              <w:rPr>
                <w:sz w:val="20"/>
                <w:szCs w:val="20"/>
              </w:rPr>
            </w:pPr>
            <w:r w:rsidRPr="12909959">
              <w:rPr>
                <w:sz w:val="20"/>
                <w:szCs w:val="20"/>
              </w:rPr>
              <w:t>10</w:t>
            </w:r>
          </w:p>
        </w:tc>
      </w:tr>
      <w:tr w:rsidR="007E5BF0" w:rsidRPr="00F17191" w14:paraId="4B37493D" w14:textId="77777777" w:rsidTr="6EE14823">
        <w:trPr>
          <w:cantSplit/>
        </w:trPr>
        <w:tc>
          <w:tcPr>
            <w:tcW w:w="3749" w:type="pct"/>
          </w:tcPr>
          <w:p w14:paraId="19D077C9" w14:textId="77777777" w:rsidR="007E5BF0" w:rsidRPr="006E128F" w:rsidRDefault="007E5BF0" w:rsidP="450D1264">
            <w:pPr>
              <w:keepNext/>
              <w:widowControl w:val="0"/>
              <w:rPr>
                <w:sz w:val="20"/>
                <w:szCs w:val="20"/>
              </w:rPr>
            </w:pPr>
            <w:r w:rsidRPr="450D1264">
              <w:rPr>
                <w:sz w:val="20"/>
                <w:szCs w:val="20"/>
              </w:rPr>
              <w:t>Total</w:t>
            </w:r>
          </w:p>
        </w:tc>
        <w:tc>
          <w:tcPr>
            <w:tcW w:w="1251" w:type="pct"/>
            <w:vAlign w:val="center"/>
          </w:tcPr>
          <w:p w14:paraId="6D90130A" w14:textId="2D9A3CB5" w:rsidR="007E5BF0" w:rsidRPr="00E102B7" w:rsidRDefault="02644935" w:rsidP="450D1264">
            <w:pPr>
              <w:keepNext/>
              <w:widowControl w:val="0"/>
              <w:jc w:val="right"/>
              <w:rPr>
                <w:sz w:val="20"/>
                <w:szCs w:val="20"/>
              </w:rPr>
            </w:pPr>
            <w:r w:rsidRPr="48690CAE">
              <w:rPr>
                <w:sz w:val="20"/>
                <w:szCs w:val="20"/>
              </w:rPr>
              <w:t xml:space="preserve">187 </w:t>
            </w:r>
          </w:p>
        </w:tc>
      </w:tr>
    </w:tbl>
    <w:p w14:paraId="23018480" w14:textId="77777777" w:rsidR="007E5BF0" w:rsidRPr="00F17191" w:rsidRDefault="007E5BF0" w:rsidP="007E5BF0"/>
    <w:p w14:paraId="0C44E617" w14:textId="77777777" w:rsidR="007E5BF0" w:rsidRDefault="007E5BF0" w:rsidP="007E5BF0">
      <w:pPr>
        <w:pStyle w:val="Heading3"/>
      </w:pPr>
      <w:r>
        <w:t xml:space="preserve">Discussion </w:t>
      </w:r>
    </w:p>
    <w:p w14:paraId="34D61514" w14:textId="77777777" w:rsidR="007E5BF0" w:rsidRDefault="007E5BF0" w:rsidP="007E5BF0">
      <w:r>
        <w:t>Rental assistance will be completed with ESG resources that include financial assistance including rental application fees, security and utility deposits, last month’s rent, utility payments, moving costs, and short-term rent assistance.</w:t>
      </w:r>
    </w:p>
    <w:p w14:paraId="13F37636" w14:textId="77777777" w:rsidR="007E5BF0" w:rsidRDefault="007E5BF0" w:rsidP="007E5BF0"/>
    <w:p w14:paraId="7E0AB634" w14:textId="77777777" w:rsidR="007E5BF0" w:rsidRDefault="007E5BF0" w:rsidP="007E5BF0">
      <w:r>
        <w:t>The production of new units will be completed with CDBG, HOME, and/or HTF resources in coordination with Housing Tax Credits and private financing for rental projects.</w:t>
      </w:r>
    </w:p>
    <w:p w14:paraId="7BFCD8C1" w14:textId="77777777" w:rsidR="007E5BF0" w:rsidRDefault="007E5BF0" w:rsidP="007E5BF0"/>
    <w:p w14:paraId="2E146BA9" w14:textId="77777777" w:rsidR="007E5BF0" w:rsidRDefault="007E5BF0" w:rsidP="007E5BF0">
      <w:r>
        <w:t xml:space="preserve">Rehabilitation of existing units will be completed with CDBG, HOME, and/or HTF resources. </w:t>
      </w:r>
    </w:p>
    <w:p w14:paraId="6072FC7F" w14:textId="77777777" w:rsidR="007E5BF0" w:rsidRDefault="007E5BF0" w:rsidP="007E5BF0"/>
    <w:p w14:paraId="364D86A1" w14:textId="35648080" w:rsidR="007E5BF0" w:rsidRDefault="007E5BF0" w:rsidP="007E5BF0">
      <w:r>
        <w:t>Acquisition of existing units will be completed primarily with HOME resources through down payment and closing cost assistance</w:t>
      </w:r>
      <w:r w:rsidR="3CD550BA">
        <w:t xml:space="preserve"> combined with mortgages financed with </w:t>
      </w:r>
      <w:r w:rsidR="0B153B1D">
        <w:t xml:space="preserve">proceeds from state-issued </w:t>
      </w:r>
      <w:r w:rsidR="3CD550BA">
        <w:t>tax-exempt bonds</w:t>
      </w:r>
      <w:r>
        <w:t>.</w:t>
      </w:r>
    </w:p>
    <w:p w14:paraId="573296F1" w14:textId="77777777" w:rsidR="007E5BF0" w:rsidRPr="008D3EF3" w:rsidRDefault="007E5BF0" w:rsidP="007E5BF0"/>
    <w:p w14:paraId="4AD58E31" w14:textId="77777777" w:rsidR="007E5BF0" w:rsidRDefault="007E5BF0" w:rsidP="003747A4">
      <w:pPr>
        <w:pStyle w:val="Heading2"/>
      </w:pPr>
      <w:bookmarkStart w:id="93" w:name="_Toc70505047"/>
      <w:bookmarkStart w:id="94" w:name="_Toc72413499"/>
      <w:r>
        <w:t>AP-60 Public Housing - 24 CFR 91.320(j)</w:t>
      </w:r>
      <w:bookmarkEnd w:id="93"/>
      <w:bookmarkEnd w:id="94"/>
    </w:p>
    <w:p w14:paraId="7DBCC431" w14:textId="77777777" w:rsidR="007E5BF0" w:rsidRDefault="1664CBFB" w:rsidP="007E5BF0">
      <w:pPr>
        <w:pStyle w:val="Heading3"/>
      </w:pPr>
      <w:r>
        <w:t xml:space="preserve">Introduction </w:t>
      </w:r>
    </w:p>
    <w:p w14:paraId="4DBF7633" w14:textId="1117C752" w:rsidR="007E5BF0" w:rsidRDefault="07139765" w:rsidP="007E5BF0">
      <w:r>
        <w:t xml:space="preserve">The </w:t>
      </w:r>
      <w:r w:rsidR="5F17AE7E">
        <w:t xml:space="preserve">Department of Commerce </w:t>
      </w:r>
      <w:r>
        <w:t xml:space="preserve">Montana Housing Division </w:t>
      </w:r>
      <w:r w:rsidR="5030DEBE">
        <w:t xml:space="preserve">includes the Rental Assistance Bureau, </w:t>
      </w:r>
      <w:r w:rsidR="57F02122">
        <w:t>Montana’s</w:t>
      </w:r>
      <w:r w:rsidR="5030DEBE">
        <w:t xml:space="preserve"> statewide Public Housing Authority. Montana Housing, as the statewide PHA, does not directly own or operate any public housing assets. However, Montana Housing </w:t>
      </w:r>
      <w:r w:rsidR="739F557E">
        <w:t xml:space="preserve">does </w:t>
      </w:r>
      <w:r w:rsidR="5030DEBE">
        <w:t>administer numerous federal rental assistance programs across</w:t>
      </w:r>
      <w:r w:rsidR="5D222E47">
        <w:t xml:space="preserve"> the state, including the Housing Choice Voucher</w:t>
      </w:r>
      <w:r w:rsidR="2EFD7DB4">
        <w:t xml:space="preserve"> </w:t>
      </w:r>
      <w:r w:rsidR="2EFD7DB4">
        <w:lastRenderedPageBreak/>
        <w:t>(HCV)</w:t>
      </w:r>
      <w:r w:rsidR="5D222E47">
        <w:t xml:space="preserve"> Program. </w:t>
      </w:r>
      <w:r w:rsidR="1314B8D9">
        <w:t xml:space="preserve">The Bureau contracts with field agency partners, including HRDCs and other PHAs, on local administration of the HCV, </w:t>
      </w:r>
      <w:r w:rsidR="6B43AAA8">
        <w:t>Veterans A</w:t>
      </w:r>
      <w:r w:rsidR="348FCCAA">
        <w:t>ffairs Supportive Housing (</w:t>
      </w:r>
      <w:r w:rsidR="1314B8D9">
        <w:t>HUD-VASH</w:t>
      </w:r>
      <w:r w:rsidR="7E73CD27">
        <w:t>)</w:t>
      </w:r>
      <w:r w:rsidR="1314B8D9">
        <w:t>,</w:t>
      </w:r>
      <w:r w:rsidR="497F9959">
        <w:t xml:space="preserve"> Project-Based VASH</w:t>
      </w:r>
      <w:r w:rsidR="4C639CA1">
        <w:t>,</w:t>
      </w:r>
      <w:r w:rsidR="1314B8D9">
        <w:t xml:space="preserve"> Mainstream</w:t>
      </w:r>
      <w:r w:rsidR="14FA083B">
        <w:t>, Emergency Housing Vouchers,</w:t>
      </w:r>
      <w:r w:rsidR="1314B8D9">
        <w:t xml:space="preserve"> and Moderate Rehabilitation Programs. </w:t>
      </w:r>
      <w:r>
        <w:t xml:space="preserve"> The State of Montana will continue to work with the PHAs to house Montana’s low-income households.</w:t>
      </w:r>
    </w:p>
    <w:p w14:paraId="452659AB" w14:textId="77777777" w:rsidR="007E5BF0" w:rsidRDefault="007E5BF0" w:rsidP="007E5BF0"/>
    <w:p w14:paraId="6B4AD879" w14:textId="77777777" w:rsidR="007E5BF0" w:rsidRDefault="007E5BF0" w:rsidP="007E5BF0">
      <w:pPr>
        <w:pStyle w:val="Heading3"/>
      </w:pPr>
      <w:r>
        <w:t>Actions planned during the next year to address the needs to public housing</w:t>
      </w:r>
    </w:p>
    <w:p w14:paraId="315F949E" w14:textId="584646EA" w:rsidR="007E5BF0" w:rsidRDefault="1664CBFB" w:rsidP="007E5BF0">
      <w:r>
        <w:t>This AAP is for a state grantee, and therefore no summary information is available on the actions planned for multiple PHAs in Montana. This information can be obtained by contacting a given PHA within a designated geographic area.</w:t>
      </w:r>
      <w:r w:rsidR="7BCBD0A4">
        <w:t xml:space="preserve"> However, the Montana Housing Division is considering options for engaging local PHAs, including development of the next 5-Year Consolidated Plan, in the coming year. </w:t>
      </w:r>
      <w:r w:rsidR="1820804B">
        <w:t>An area of considerable concern for Montana is HUD’s methodology for Fair Market Rent calculations and resulting Voucher Payment Standard limits. Montana Housing and other local PHAs are struggling with voucher utilization, with landlords op</w:t>
      </w:r>
      <w:r w:rsidR="326462AB">
        <w:t xml:space="preserve">ting out of the program due to the economics of </w:t>
      </w:r>
      <w:r w:rsidR="4CD0BFDF">
        <w:t xml:space="preserve">Payment Standards </w:t>
      </w:r>
      <w:r w:rsidR="326462AB">
        <w:t xml:space="preserve">limitations and their ability to rent to non-voucher holders at higher market rents. The Montana Housing Division is also seeking to collaborate with local PHAs on the </w:t>
      </w:r>
      <w:r w:rsidR="17F73BE3">
        <w:t xml:space="preserve">physical condition and rehabilitation needs of local PHA public housing stock. </w:t>
      </w:r>
    </w:p>
    <w:p w14:paraId="3AD53236" w14:textId="77777777" w:rsidR="007E5BF0" w:rsidRDefault="007E5BF0" w:rsidP="007E5BF0"/>
    <w:p w14:paraId="1FF42007" w14:textId="77777777" w:rsidR="007E5BF0" w:rsidRDefault="007E5BF0" w:rsidP="007E5BF0">
      <w:pPr>
        <w:pStyle w:val="Heading3"/>
      </w:pPr>
      <w:r>
        <w:t>Actions to encourage public housing residents to become more involved in management and participate in homeownership</w:t>
      </w:r>
    </w:p>
    <w:p w14:paraId="737D8149" w14:textId="77777777" w:rsidR="007E5BF0" w:rsidRDefault="007E5BF0" w:rsidP="007E5BF0">
      <w:r w:rsidRPr="00CE565C">
        <w:t xml:space="preserve">This </w:t>
      </w:r>
      <w:r>
        <w:t xml:space="preserve">AAP </w:t>
      </w:r>
      <w:r w:rsidRPr="00CE565C">
        <w:t>is for a state grantee, and therefore no summary information is available on the actions planned for the PHAs in Montana. The state will work on collecting information and supporting activities that encourage public housing residents to become more involved in management and participate in homeownership.</w:t>
      </w:r>
    </w:p>
    <w:p w14:paraId="30D5B812" w14:textId="77777777" w:rsidR="007E5BF0" w:rsidRDefault="007E5BF0" w:rsidP="007E5BF0"/>
    <w:p w14:paraId="12034968" w14:textId="77777777" w:rsidR="007E5BF0" w:rsidRDefault="007E5BF0" w:rsidP="007E5BF0">
      <w:pPr>
        <w:pStyle w:val="Heading3"/>
      </w:pPr>
      <w:r>
        <w:t xml:space="preserve">If the PHA is designated as troubled, describe the </w:t>
      </w:r>
      <w:proofErr w:type="gramStart"/>
      <w:r>
        <w:t>manner in which</w:t>
      </w:r>
      <w:proofErr w:type="gramEnd"/>
      <w:r>
        <w:t xml:space="preserve"> financial assistance will be provided or other assistance </w:t>
      </w:r>
    </w:p>
    <w:p w14:paraId="2323DD78" w14:textId="77777777" w:rsidR="007E5BF0" w:rsidRDefault="007E5BF0" w:rsidP="007E5BF0">
      <w:r>
        <w:t>Not applicable.</w:t>
      </w:r>
    </w:p>
    <w:p w14:paraId="31F41165" w14:textId="77777777" w:rsidR="007E5BF0" w:rsidRDefault="007E5BF0" w:rsidP="007E5BF0"/>
    <w:p w14:paraId="7B4C307F" w14:textId="77777777" w:rsidR="007E5BF0" w:rsidRDefault="007E5BF0" w:rsidP="007E5BF0">
      <w:pPr>
        <w:pStyle w:val="Heading3"/>
      </w:pPr>
      <w:r>
        <w:t>Discussion</w:t>
      </w:r>
    </w:p>
    <w:p w14:paraId="34ED6C0D" w14:textId="77777777" w:rsidR="007E5BF0" w:rsidRDefault="007E5BF0" w:rsidP="007E5BF0">
      <w:r w:rsidRPr="00BC588E">
        <w:t xml:space="preserve">This </w:t>
      </w:r>
      <w:r>
        <w:t xml:space="preserve">AAP </w:t>
      </w:r>
      <w:r w:rsidRPr="00BC588E">
        <w:t>is for a state grantee, and therefore no summary information is available on the actions planned for multiple PHAs in Montana. This information can be obtained by contacting a given PHA within a designated geographic area.</w:t>
      </w:r>
    </w:p>
    <w:p w14:paraId="13570891" w14:textId="77777777" w:rsidR="007E5BF0" w:rsidRPr="008D3EF3" w:rsidRDefault="007E5BF0" w:rsidP="007E5BF0"/>
    <w:p w14:paraId="0CF04DFD" w14:textId="77777777" w:rsidR="007E5BF0" w:rsidRDefault="007E5BF0" w:rsidP="003747A4">
      <w:pPr>
        <w:pStyle w:val="Heading2"/>
      </w:pPr>
      <w:bookmarkStart w:id="95" w:name="_Toc70505048"/>
      <w:bookmarkStart w:id="96" w:name="_Toc72413500"/>
      <w:r>
        <w:t>AP-65 Homeless and Other Special Needs Activities – 91.320(h)</w:t>
      </w:r>
      <w:bookmarkEnd w:id="95"/>
      <w:bookmarkEnd w:id="96"/>
    </w:p>
    <w:p w14:paraId="79EC95EF" w14:textId="77777777" w:rsidR="007E5BF0" w:rsidRDefault="007E5BF0" w:rsidP="007E5BF0">
      <w:pPr>
        <w:pStyle w:val="Heading3"/>
      </w:pPr>
      <w:r>
        <w:t>Introduction</w:t>
      </w:r>
    </w:p>
    <w:p w14:paraId="5FB20956" w14:textId="0BF98593" w:rsidR="00A53393" w:rsidRDefault="15D4CFDC" w:rsidP="2B242364">
      <w:r>
        <w:t xml:space="preserve">Homeless and other special needs activities will be carried out according to the eligible uses of funds for CDBG, HOME, HTF, and ESG. </w:t>
      </w:r>
      <w:r w:rsidR="0122C19F">
        <w:t xml:space="preserve">See AP-30 Methods of Distribution. </w:t>
      </w:r>
      <w:r w:rsidR="500467C7">
        <w:t xml:space="preserve"> </w:t>
      </w:r>
      <w:proofErr w:type="gramStart"/>
      <w:r w:rsidR="36C950FC">
        <w:t>Homeless</w:t>
      </w:r>
      <w:proofErr w:type="gramEnd"/>
      <w:r w:rsidR="36C950FC">
        <w:t xml:space="preserve"> and other special needs will also be addressed through </w:t>
      </w:r>
      <w:r w:rsidR="500467C7">
        <w:t xml:space="preserve">HOME-ARP </w:t>
      </w:r>
      <w:r w:rsidR="56BA747A">
        <w:t xml:space="preserve">and ESFG </w:t>
      </w:r>
      <w:r w:rsidR="500467C7">
        <w:t>funds</w:t>
      </w:r>
      <w:r w:rsidR="2745EE97">
        <w:t>,</w:t>
      </w:r>
      <w:r w:rsidR="500467C7">
        <w:t xml:space="preserve"> </w:t>
      </w:r>
      <w:r w:rsidR="67267F95">
        <w:t xml:space="preserve">the majority of </w:t>
      </w:r>
      <w:r w:rsidR="082A51E8">
        <w:t xml:space="preserve">which </w:t>
      </w:r>
      <w:r w:rsidR="6AAA71EE">
        <w:t>we</w:t>
      </w:r>
      <w:r w:rsidR="500467C7">
        <w:t>re awarded during Plan Year 4</w:t>
      </w:r>
      <w:r w:rsidR="39089828">
        <w:t>.</w:t>
      </w:r>
      <w:r w:rsidR="500467C7">
        <w:t xml:space="preserve"> </w:t>
      </w:r>
      <w:r w:rsidR="7E2AA618">
        <w:t xml:space="preserve">HOME-ARP activities </w:t>
      </w:r>
      <w:r w:rsidR="500467C7">
        <w:t>will increase capital available for development of non-congregate shelter and permanent supportive housing</w:t>
      </w:r>
      <w:r w:rsidR="5BA4D495">
        <w:t>, as well as supportive service</w:t>
      </w:r>
      <w:r w:rsidR="445AE57F">
        <w:t>s</w:t>
      </w:r>
      <w:r w:rsidR="5BA4D495">
        <w:t xml:space="preserve"> to benefit Qualifying Populations.</w:t>
      </w:r>
      <w:r w:rsidR="3B23B916">
        <w:t xml:space="preserve"> </w:t>
      </w:r>
      <w:r w:rsidR="13856807">
        <w:t xml:space="preserve">ESFG activities will </w:t>
      </w:r>
      <w:r w:rsidR="1BF806E6">
        <w:t>support capital improvements in seven Montana counties</w:t>
      </w:r>
      <w:r w:rsidR="273FCDA6">
        <w:t xml:space="preserve">, allowing for the development or rehabilitation </w:t>
      </w:r>
      <w:r w:rsidR="4B61BB80">
        <w:t xml:space="preserve">of </w:t>
      </w:r>
      <w:r w:rsidR="66D9872B">
        <w:t xml:space="preserve">congregate and </w:t>
      </w:r>
      <w:r w:rsidR="363EFDE9">
        <w:t xml:space="preserve">non-congregate emergency shelter facilities </w:t>
      </w:r>
      <w:r w:rsidR="4B1A4308">
        <w:t xml:space="preserve">and </w:t>
      </w:r>
      <w:r w:rsidR="54305C64">
        <w:t xml:space="preserve">delivery of </w:t>
      </w:r>
      <w:r w:rsidR="363EFDE9">
        <w:t>supportive services</w:t>
      </w:r>
      <w:r w:rsidR="1EDA11B8">
        <w:t>.</w:t>
      </w:r>
    </w:p>
    <w:p w14:paraId="124FB580" w14:textId="77777777" w:rsidR="00A53393" w:rsidRDefault="00A53393" w:rsidP="007E5BF0"/>
    <w:p w14:paraId="0440E66B" w14:textId="5821037D" w:rsidR="007E5BF0" w:rsidRDefault="1664CBFB" w:rsidP="414323AB">
      <w:r>
        <w:t xml:space="preserve">Homelessness in Montana may be due to leaving one’s home </w:t>
      </w:r>
      <w:proofErr w:type="gramStart"/>
      <w:r>
        <w:t>as a result of</w:t>
      </w:r>
      <w:proofErr w:type="gramEnd"/>
      <w:r>
        <w:t xml:space="preserve"> domestic violence, lack of medical assistance, lack of stable employment, leaving a state correctional or mental health facility, or </w:t>
      </w:r>
      <w:r w:rsidR="34EDB81C">
        <w:t>a lack of affordable housing options.</w:t>
      </w:r>
      <w:r>
        <w:t xml:space="preserve"> </w:t>
      </w:r>
      <w:r w:rsidR="5A3910CB">
        <w:t xml:space="preserve">However, </w:t>
      </w:r>
      <w:r w:rsidR="7CFFEC77">
        <w:t xml:space="preserve">market </w:t>
      </w:r>
      <w:r w:rsidR="33CA3A4A">
        <w:t xml:space="preserve">rent increases appear to be a </w:t>
      </w:r>
      <w:r w:rsidR="5A3910CB">
        <w:t xml:space="preserve">primary driving factor </w:t>
      </w:r>
      <w:r w:rsidR="5A3910CB">
        <w:lastRenderedPageBreak/>
        <w:t xml:space="preserve">in recent </w:t>
      </w:r>
      <w:r w:rsidR="12B56D86">
        <w:t>rises</w:t>
      </w:r>
      <w:r w:rsidR="5A3910CB">
        <w:t xml:space="preserve"> in homelessness</w:t>
      </w:r>
      <w:r w:rsidR="0CA41F53">
        <w:t xml:space="preserve">, </w:t>
      </w:r>
      <w:r w:rsidR="5A3910CB">
        <w:t xml:space="preserve">particularly acute in higher cost areas that experienced rapid rent increases during the COVID-19 era. </w:t>
      </w:r>
      <w:r w:rsidR="7099F43A" w:rsidRPr="6EE14823">
        <w:rPr>
          <w:rFonts w:eastAsiaTheme="minorEastAsia"/>
          <w:color w:val="111111"/>
        </w:rPr>
        <w:t>Every $100 increase in median rent is associated with a 9 percent increase in the estimated homelessness rate, according to a 2020 report by the U.S. Government Accountability Office.</w:t>
      </w:r>
      <w:r w:rsidR="5A3910CB" w:rsidRPr="00A75DA5">
        <w:rPr>
          <w:rFonts w:eastAsiaTheme="minorEastAsia"/>
        </w:rPr>
        <w:t xml:space="preserve"> </w:t>
      </w:r>
      <w:r>
        <w:t>Many households experiencing homelessness double up with family, friends, or may be able to find temporary assistance from a faith-based community. Non-homeless special needs populations in the state include the elderly and frail elderly, persons living with disabilities, persons leaving a correctional facility, persons with substance use disorders, victims of domestic violence, and persons and the families of persons living with HIV. These populations may not be homeless but may be at risk of becoming homeless and, therefore, often require housing and service programs relevant to their specific special needs.</w:t>
      </w:r>
    </w:p>
    <w:p w14:paraId="48D43C43" w14:textId="77777777" w:rsidR="007E5BF0" w:rsidRDefault="007E5BF0" w:rsidP="007E5BF0"/>
    <w:p w14:paraId="1118A252" w14:textId="68399CF6" w:rsidR="007E5BF0" w:rsidRDefault="007E5BF0" w:rsidP="007E5BF0">
      <w:r>
        <w:t xml:space="preserve">The State of Montana will work to encourage activities that address the housing needs of those at risk of </w:t>
      </w:r>
      <w:r w:rsidR="66E1F316">
        <w:t>homelessness and</w:t>
      </w:r>
      <w:r w:rsidR="00285E8C">
        <w:t xml:space="preserve"> </w:t>
      </w:r>
      <w:r>
        <w:t>encourage activities that increase the level of assistance to programs serving special needs groups including those at risk of homelessness. This includes supporting activities to reduce homelessness and encouraging the development and rehabilitation of non-rental facilities for the shelter and transition of temporarily homeless Montanans. Additionally, HOME, CDBG, HTF, and ESG will continue to support efforts by local governments and partner organizations providing permanent supportive housing, HIV services, substance abuse services, disability services, aid to victims of domestic violence, and assistance for the disabled.</w:t>
      </w:r>
    </w:p>
    <w:p w14:paraId="7917DE4E" w14:textId="77777777" w:rsidR="007E5BF0" w:rsidRPr="00F61A92" w:rsidRDefault="007E5BF0" w:rsidP="007E5BF0"/>
    <w:p w14:paraId="23B85138" w14:textId="77777777" w:rsidR="007E5BF0" w:rsidRDefault="007E5BF0" w:rsidP="007E5BF0">
      <w:pPr>
        <w:pStyle w:val="Heading3"/>
      </w:pPr>
      <w:r>
        <w:t>Describe the jurisdictions one-year goals and actions for reducing and ending homelessness including</w:t>
      </w:r>
    </w:p>
    <w:p w14:paraId="7110A6FC" w14:textId="77777777" w:rsidR="007E5BF0" w:rsidRDefault="007E5BF0" w:rsidP="007E5BF0"/>
    <w:p w14:paraId="26E302FD" w14:textId="77777777" w:rsidR="007E5BF0" w:rsidRDefault="007E5BF0" w:rsidP="007E5BF0">
      <w:pPr>
        <w:pStyle w:val="Heading4"/>
      </w:pPr>
      <w:r>
        <w:t>Reaching out to homeless persons (especially unsheltered persons) and assessing their individual needs</w:t>
      </w:r>
    </w:p>
    <w:p w14:paraId="6DF67E0C" w14:textId="7948B3F9" w:rsidR="007E5BF0" w:rsidRDefault="15D4CFDC" w:rsidP="007E5BF0">
      <w:r>
        <w:t xml:space="preserve">Montana divides itself into 12 districts to participate annually in the national </w:t>
      </w:r>
      <w:r w:rsidR="54ED1532">
        <w:t xml:space="preserve">Point-in-Time </w:t>
      </w:r>
      <w:r w:rsidR="147E020A">
        <w:t>(</w:t>
      </w:r>
      <w:r>
        <w:t>PIT</w:t>
      </w:r>
      <w:r w:rsidR="55809DFB">
        <w:t>)</w:t>
      </w:r>
      <w:r>
        <w:t xml:space="preserve"> counts of homeless, unduplicated, one-night estimates of both sheltered and unsheltered homeless populations, occurring during the last week in January of each year. One finding from that survey is that a significant segment of the homeless population is women, children, and families that have experienced life-altering situations, such as job loss, disaster, divorce, or abuse that have driven them into homelessness. </w:t>
      </w:r>
    </w:p>
    <w:p w14:paraId="244E7FE8" w14:textId="77777777" w:rsidR="007E5BF0" w:rsidRDefault="007E5BF0" w:rsidP="007E5BF0"/>
    <w:p w14:paraId="728DB055" w14:textId="3B58CD3F" w:rsidR="007E5BF0" w:rsidRDefault="007E5BF0" w:rsidP="007E5BF0">
      <w:r>
        <w:t xml:space="preserve">Montana uses the </w:t>
      </w:r>
      <w:r w:rsidR="00285E8C">
        <w:t>C</w:t>
      </w:r>
      <w:r>
        <w:t xml:space="preserve">ontinuum of </w:t>
      </w:r>
      <w:r w:rsidR="00285E8C">
        <w:t>C</w:t>
      </w:r>
      <w:r>
        <w:t xml:space="preserve">are model that originated with HUD, with the goal of supporting the transition of homeless individuals into stabilized self-sufficiency in affordable housing. It is important to note that the </w:t>
      </w:r>
      <w:proofErr w:type="spellStart"/>
      <w:r w:rsidRPr="54FDEEE5">
        <w:rPr>
          <w:color w:val="000000" w:themeColor="text1"/>
        </w:rPr>
        <w:t>MTCoC</w:t>
      </w:r>
      <w:proofErr w:type="spellEnd"/>
      <w:r>
        <w:t xml:space="preserve"> has expressed that multiplying a single night’s data into an annual estimate does not necessarily result in an accurate representation.</w:t>
      </w:r>
    </w:p>
    <w:p w14:paraId="40B2B0E7" w14:textId="77777777" w:rsidR="007E5BF0" w:rsidRDefault="007E5BF0" w:rsidP="007E5BF0"/>
    <w:p w14:paraId="223969DB" w14:textId="77777777" w:rsidR="007E5BF0" w:rsidRDefault="007E5BF0" w:rsidP="007E5BF0">
      <w:pPr>
        <w:pStyle w:val="Heading4"/>
      </w:pPr>
      <w:r>
        <w:t>Addressing the emergency shelter and transitional housing needs of homeless persons</w:t>
      </w:r>
    </w:p>
    <w:p w14:paraId="2E615A9F" w14:textId="4182C549" w:rsidR="0000656C" w:rsidRDefault="15D4CFDC" w:rsidP="007E5BF0">
      <w:r>
        <w:t>Montana encourages efforts to provide shelter and other basic needs to people who are currently homeless and supports these efforts with CDBG Public Facilities</w:t>
      </w:r>
      <w:r w:rsidR="513A893B">
        <w:t>, HOME-ARP</w:t>
      </w:r>
      <w:r w:rsidR="7B65191D">
        <w:t>,</w:t>
      </w:r>
      <w:r>
        <w:t xml:space="preserve"> </w:t>
      </w:r>
      <w:r w:rsidR="533B4E90">
        <w:t xml:space="preserve">ESFG, </w:t>
      </w:r>
      <w:r>
        <w:t>and ESG funds.</w:t>
      </w:r>
      <w:r w:rsidR="5BA4D495">
        <w:t xml:space="preserve"> </w:t>
      </w:r>
    </w:p>
    <w:p w14:paraId="038DAADC" w14:textId="77777777" w:rsidR="0000656C" w:rsidRDefault="0000656C" w:rsidP="007E5BF0"/>
    <w:p w14:paraId="0F9ECB88" w14:textId="5470B99D" w:rsidR="007E5BF0" w:rsidRDefault="007E5BF0" w:rsidP="007E5BF0">
      <w:r w:rsidRPr="000616A1">
        <w:t>In addition, because preventing homelessness is much less costly than addressing the problem after housing has been lost, Montana also supports efforts that will</w:t>
      </w:r>
      <w:r>
        <w:t>:</w:t>
      </w:r>
      <w:r w:rsidRPr="000616A1">
        <w:t xml:space="preserve"> </w:t>
      </w:r>
    </w:p>
    <w:p w14:paraId="59F2D322" w14:textId="03490F0D" w:rsidR="007E5BF0" w:rsidRDefault="00811075" w:rsidP="007E5BF0">
      <w:pPr>
        <w:pStyle w:val="ListParagraph"/>
        <w:numPr>
          <w:ilvl w:val="0"/>
          <w:numId w:val="22"/>
        </w:numPr>
      </w:pPr>
      <w:r>
        <w:t>H</w:t>
      </w:r>
      <w:r w:rsidR="007E5BF0" w:rsidRPr="000616A1">
        <w:t>elp people in crisis who are at risk of losing existing housing (homeless prevention)</w:t>
      </w:r>
      <w:r w:rsidR="007E5BF0">
        <w:t>;</w:t>
      </w:r>
      <w:r w:rsidR="007E5BF0" w:rsidRPr="000616A1">
        <w:t xml:space="preserve"> and </w:t>
      </w:r>
    </w:p>
    <w:p w14:paraId="539A9811" w14:textId="537FF3EC" w:rsidR="007E5BF0" w:rsidRDefault="00811075" w:rsidP="007E5BF0">
      <w:pPr>
        <w:pStyle w:val="ListParagraph"/>
        <w:numPr>
          <w:ilvl w:val="0"/>
          <w:numId w:val="22"/>
        </w:numPr>
      </w:pPr>
      <w:r>
        <w:t>P</w:t>
      </w:r>
      <w:r w:rsidR="007E5BF0" w:rsidRPr="000616A1">
        <w:t>lace homeless people into permanent and affordable housing accompanied by intensive services that will aid them in establishing long-term stability (rapid re-housing).</w:t>
      </w:r>
    </w:p>
    <w:p w14:paraId="6CC8A069" w14:textId="77777777" w:rsidR="007E5BF0" w:rsidRDefault="007E5BF0" w:rsidP="007E5BF0"/>
    <w:p w14:paraId="67BECCFC" w14:textId="77777777" w:rsidR="007E5BF0" w:rsidRDefault="007E5BF0" w:rsidP="007E5BF0">
      <w:pPr>
        <w:pStyle w:val="Heading4"/>
      </w:pPr>
      <w:r>
        <w:lastRenderedPageBreak/>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14:paraId="10058DAA" w14:textId="6E1713AB" w:rsidR="007A4A33" w:rsidRDefault="00A53393" w:rsidP="007E5BF0">
      <w:r>
        <w:t xml:space="preserve">Montana supports transitional housing for homeless families seeking permanent housing and independent living. Several assisted housing development projects in Montana’s portfolio provide transitional housing and supportive services. Furthermore, grantees serving homeless persons </w:t>
      </w:r>
      <w:r w:rsidR="007A4A33">
        <w:t>in Montana participate in the Stat</w:t>
      </w:r>
      <w:r w:rsidR="009F6F8A">
        <w:t>e</w:t>
      </w:r>
      <w:r w:rsidR="007A4A33">
        <w:t>’s Coordinated Entry System (</w:t>
      </w:r>
      <w:r w:rsidR="007A4A33" w:rsidRPr="007A4A33">
        <w:t>CES</w:t>
      </w:r>
      <w:r w:rsidR="007A4A33">
        <w:t>),</w:t>
      </w:r>
      <w:r w:rsidR="007A4A33" w:rsidRPr="007A4A33">
        <w:t xml:space="preserve"> </w:t>
      </w:r>
      <w:r w:rsidR="007A4A33">
        <w:t xml:space="preserve">which </w:t>
      </w:r>
      <w:r w:rsidR="007A4A33" w:rsidRPr="007A4A33">
        <w:t>identifies the most appropriate housing resource</w:t>
      </w:r>
      <w:r w:rsidR="007A4A33">
        <w:t>s</w:t>
      </w:r>
      <w:r w:rsidR="007A4A33" w:rsidRPr="007A4A33">
        <w:t xml:space="preserve"> to facilitate </w:t>
      </w:r>
      <w:r w:rsidR="007A4A33">
        <w:t xml:space="preserve">homeless households’ </w:t>
      </w:r>
      <w:r w:rsidR="007A4A33" w:rsidRPr="007A4A33">
        <w:t>rapid and permanent exit from homelessness</w:t>
      </w:r>
      <w:r w:rsidR="009F6F8A">
        <w:t xml:space="preserve"> and</w:t>
      </w:r>
      <w:r w:rsidR="007A4A33" w:rsidRPr="007A4A33">
        <w:t xml:space="preserve"> prioriti</w:t>
      </w:r>
      <w:r w:rsidR="009F6F8A">
        <w:t>zes</w:t>
      </w:r>
      <w:r w:rsidR="007A4A33" w:rsidRPr="007A4A33">
        <w:t xml:space="preserve"> the most vulnerable households. </w:t>
      </w:r>
      <w:r w:rsidR="009F6F8A">
        <w:t>Under the CES, s</w:t>
      </w:r>
      <w:r w:rsidR="007A4A33">
        <w:t xml:space="preserve">ervice providers </w:t>
      </w:r>
      <w:r w:rsidR="007A4A33" w:rsidRPr="007A4A33">
        <w:t xml:space="preserve">work together as a housing and service </w:t>
      </w:r>
      <w:r w:rsidR="009F6F8A">
        <w:t>collaborative</w:t>
      </w:r>
      <w:r w:rsidR="007A4A33" w:rsidRPr="007A4A33">
        <w:t>, reduc</w:t>
      </w:r>
      <w:r w:rsidR="009F6F8A">
        <w:t>ing</w:t>
      </w:r>
      <w:r w:rsidR="007A4A33" w:rsidRPr="007A4A33">
        <w:t xml:space="preserve"> duplication</w:t>
      </w:r>
      <w:r w:rsidR="007A4A33">
        <w:t xml:space="preserve"> of services</w:t>
      </w:r>
      <w:r w:rsidR="009F6F8A">
        <w:t xml:space="preserve">, </w:t>
      </w:r>
      <w:r w:rsidR="007A4A33">
        <w:t>effective</w:t>
      </w:r>
      <w:r w:rsidR="009F6F8A">
        <w:t>ly</w:t>
      </w:r>
      <w:r w:rsidR="007A4A33">
        <w:t xml:space="preserve"> deliver</w:t>
      </w:r>
      <w:r w:rsidR="009F6F8A">
        <w:t>ing services,</w:t>
      </w:r>
      <w:r w:rsidR="007A4A33">
        <w:t xml:space="preserve"> and </w:t>
      </w:r>
      <w:r w:rsidR="009F6F8A">
        <w:t xml:space="preserve">strategically </w:t>
      </w:r>
      <w:r w:rsidR="007A4A33">
        <w:t>utiliz</w:t>
      </w:r>
      <w:r w:rsidR="009F6F8A">
        <w:t>ing</w:t>
      </w:r>
      <w:r w:rsidR="007A4A33">
        <w:t xml:space="preserve"> resources</w:t>
      </w:r>
      <w:r w:rsidR="007A4A33" w:rsidRPr="007A4A33">
        <w:t>.</w:t>
      </w:r>
    </w:p>
    <w:p w14:paraId="065A8694" w14:textId="59E98E31" w:rsidR="00D04922" w:rsidRDefault="00D04922" w:rsidP="007E5BF0"/>
    <w:p w14:paraId="7000D101" w14:textId="4F3ED2B3" w:rsidR="00D04922" w:rsidRDefault="332B7444" w:rsidP="007E5BF0">
      <w:r>
        <w:t xml:space="preserve">Although the State does not know whether it will receive </w:t>
      </w:r>
      <w:r w:rsidR="58AF52D7">
        <w:t>CDBG, HOME</w:t>
      </w:r>
      <w:r w:rsidR="018E19E2">
        <w:t>,</w:t>
      </w:r>
      <w:r w:rsidR="58AF52D7">
        <w:t xml:space="preserve"> or HTF </w:t>
      </w:r>
      <w:r>
        <w:t xml:space="preserve">applications for activities that specifically serve homeless persons, the State prioritizes funding for activities that address special and critical needs, including those </w:t>
      </w:r>
      <w:r w:rsidR="58AF52D7">
        <w:t xml:space="preserve">experiencing </w:t>
      </w:r>
      <w:r>
        <w:t>homeless</w:t>
      </w:r>
      <w:r w:rsidR="58AF52D7">
        <w:t>ness</w:t>
      </w:r>
      <w:r>
        <w:t>.</w:t>
      </w:r>
      <w:r w:rsidR="58AF52D7">
        <w:t xml:space="preserve">  HOME-ARP funds will specifically benefit Qualifying Populations</w:t>
      </w:r>
      <w:r w:rsidR="6C66F97D">
        <w:t>, and state ESFG funds will also serve those e</w:t>
      </w:r>
      <w:r w:rsidR="118099B0">
        <w:t>xperiencing homelessness</w:t>
      </w:r>
      <w:r w:rsidR="58AF52D7">
        <w:t>.</w:t>
      </w:r>
      <w:r>
        <w:t xml:space="preserve"> </w:t>
      </w:r>
    </w:p>
    <w:p w14:paraId="042AD10F" w14:textId="77777777" w:rsidR="007A4A33" w:rsidRDefault="007A4A33" w:rsidP="007E5BF0"/>
    <w:p w14:paraId="1DCACEAB" w14:textId="3E09CF12" w:rsidR="007E5BF0" w:rsidRDefault="007E5BF0" w:rsidP="007E5BF0">
      <w:r w:rsidRPr="00130EB9">
        <w:t>See</w:t>
      </w:r>
      <w:r>
        <w:rPr>
          <w:b/>
        </w:rPr>
        <w:t xml:space="preserve"> </w:t>
      </w:r>
      <w:r w:rsidRPr="00CD47F6">
        <w:t xml:space="preserve">the </w:t>
      </w:r>
      <w:r w:rsidR="00E50AF3">
        <w:t>2020-2024 Consolidated Plan</w:t>
      </w:r>
      <w:r w:rsidR="009F6F8A">
        <w:t xml:space="preserve"> for a more in-depth discussion of</w:t>
      </w:r>
      <w:r w:rsidR="00C81C3B">
        <w:t xml:space="preserve"> the needs of homeless </w:t>
      </w:r>
      <w:proofErr w:type="gramStart"/>
      <w:r w:rsidR="00C81C3B">
        <w:t>persons</w:t>
      </w:r>
      <w:proofErr w:type="gramEnd"/>
      <w:r w:rsidR="00C81C3B">
        <w:t xml:space="preserve"> in Montana.</w:t>
      </w:r>
      <w:r>
        <w:t xml:space="preserve"> </w:t>
      </w:r>
    </w:p>
    <w:p w14:paraId="086737E9" w14:textId="77777777" w:rsidR="007E5BF0" w:rsidRDefault="007E5BF0" w:rsidP="007E5BF0"/>
    <w:p w14:paraId="7AD8AB8D" w14:textId="77777777" w:rsidR="007E5BF0" w:rsidRDefault="007E5BF0" w:rsidP="007E5BF0">
      <w:pPr>
        <w:pStyle w:val="Heading4"/>
      </w:pPr>
      <w: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14:paraId="653A2C1E" w14:textId="77777777" w:rsidR="007E5BF0" w:rsidRDefault="007E5BF0" w:rsidP="007E5BF0">
      <w:r>
        <w:t xml:space="preserve">DPHHS works with the </w:t>
      </w:r>
      <w:proofErr w:type="spellStart"/>
      <w:r>
        <w:t>MTCoC</w:t>
      </w:r>
      <w:proofErr w:type="spellEnd"/>
      <w:r>
        <w:t xml:space="preserve"> to leverage resources and provide increased and coordinated services to homeless households across the state. DPHHS aligns its strategy for reducing and ending homelessness with the </w:t>
      </w:r>
      <w:proofErr w:type="spellStart"/>
      <w:r>
        <w:t>MTCoC</w:t>
      </w:r>
      <w:proofErr w:type="spellEnd"/>
      <w:r>
        <w:t xml:space="preserve"> districts. DPHHS and subgrantees of ESG funding participate in </w:t>
      </w:r>
      <w:proofErr w:type="spellStart"/>
      <w:r>
        <w:t>MTCoC</w:t>
      </w:r>
      <w:proofErr w:type="spellEnd"/>
      <w:r>
        <w:t xml:space="preserve"> strategic planning discussions and attend working meetings. </w:t>
      </w:r>
    </w:p>
    <w:p w14:paraId="03BB6A52" w14:textId="77777777" w:rsidR="007E5BF0" w:rsidRDefault="007E5BF0" w:rsidP="007E5BF0"/>
    <w:p w14:paraId="47EA8316" w14:textId="6896A7C7" w:rsidR="007E5BF0" w:rsidRDefault="007E5BF0" w:rsidP="007E5BF0">
      <w:r>
        <w:t xml:space="preserve">The </w:t>
      </w:r>
      <w:proofErr w:type="spellStart"/>
      <w:r>
        <w:t>MTCoC</w:t>
      </w:r>
      <w:proofErr w:type="spellEnd"/>
      <w:r>
        <w:t xml:space="preserve"> prioritizes and ranks homeless projects each year and prepares a consolidated, statewide </w:t>
      </w:r>
      <w:r w:rsidR="61E7D3B5">
        <w:t>C</w:t>
      </w:r>
      <w:r>
        <w:t xml:space="preserve">ontinuum of </w:t>
      </w:r>
      <w:r w:rsidR="60B80BDD">
        <w:t>C</w:t>
      </w:r>
      <w:r>
        <w:t>are application in response to the NOF</w:t>
      </w:r>
      <w:r w:rsidR="2D5EEC55">
        <w:t>O</w:t>
      </w:r>
      <w:r>
        <w:t xml:space="preserve">. Projects originate from local community </w:t>
      </w:r>
      <w:r w:rsidR="7D3B95CB">
        <w:t>C</w:t>
      </w:r>
      <w:r>
        <w:t xml:space="preserve">ontinuums of </w:t>
      </w:r>
      <w:r w:rsidR="2701EAC0">
        <w:t>C</w:t>
      </w:r>
      <w:r>
        <w:t xml:space="preserve">are or a state agency. Project approvals are based upon performance and capacity criteria as well as local needs and HUD priorities. </w:t>
      </w:r>
    </w:p>
    <w:p w14:paraId="0AB3BEC8" w14:textId="77777777" w:rsidR="007E5BF0" w:rsidRDefault="007E5BF0" w:rsidP="007E5BF0"/>
    <w:p w14:paraId="2CAAC5B1" w14:textId="76AF606C" w:rsidR="007E5BF0" w:rsidRDefault="007E5BF0" w:rsidP="007E5BF0">
      <w:r>
        <w:t xml:space="preserve">The ESG Program coordinates its strategy with the </w:t>
      </w:r>
      <w:proofErr w:type="spellStart"/>
      <w:r>
        <w:t>MTCoC</w:t>
      </w:r>
      <w:proofErr w:type="spellEnd"/>
      <w:r>
        <w:t xml:space="preserve"> to meet the needs of the homeless and those at risk of homelessness at the local level. Funded activities include rental assistance, financial assistance of rental application fees, security and utility deposits and payments, case management, housing search and support for toll free telephone referral hotlines for domestic abuse; referral to mainstream resources; assistance to shelters for victims of domestic and sexual violence, youth homes, and food banks. All </w:t>
      </w:r>
      <w:r w:rsidR="6A879DF2">
        <w:t>subrecipients</w:t>
      </w:r>
      <w:r>
        <w:t xml:space="preserve"> submit work plans, budgets, and reports outlining which of the allowable activities will be undertaken.</w:t>
      </w:r>
    </w:p>
    <w:p w14:paraId="2E6ED245" w14:textId="77777777" w:rsidR="007E5BF0" w:rsidRDefault="007E5BF0" w:rsidP="007E5BF0"/>
    <w:p w14:paraId="6C857908" w14:textId="5FF17ABC" w:rsidR="007E5BF0" w:rsidRDefault="007E5BF0" w:rsidP="007E5BF0">
      <w:r>
        <w:t xml:space="preserve">If it is determined that there is a particularly high need to help individuals being discharged from publicly funded institutions and systems of care, such as health-care facilities, mental health facilities, foster care or other youth facilities, and corrections programs and institutions, then subrecipient agencies will be </w:t>
      </w:r>
      <w:r>
        <w:lastRenderedPageBreak/>
        <w:t xml:space="preserve">assisted, as allowed, through the ESG Program. As agencies continue to work in their communities’ coordinated assessment/entry process, they will be able to best determine which stream of funding and which organizations can best serve different demographics of need. Because ESG subrecipients are also </w:t>
      </w:r>
      <w:r w:rsidR="11B01BC9">
        <w:t xml:space="preserve">typically </w:t>
      </w:r>
      <w:r>
        <w:t>the local Community Action Agencies (CAAs)</w:t>
      </w:r>
      <w:r w:rsidR="35757DCA">
        <w:t xml:space="preserve"> and have good relationships with other service providers</w:t>
      </w:r>
      <w:r>
        <w:t>, they can provide other key services that address health, employment, and education, as well as refer households to organizations with whom they have established relationships and coordinated programs.</w:t>
      </w:r>
    </w:p>
    <w:p w14:paraId="1794ECF0" w14:textId="77777777" w:rsidR="007E5BF0" w:rsidRDefault="007E5BF0" w:rsidP="007E5BF0"/>
    <w:p w14:paraId="47525FC5" w14:textId="0F4D5B2A" w:rsidR="007E5BF0" w:rsidRDefault="15D4CFDC" w:rsidP="007E5BF0">
      <w:r>
        <w:t xml:space="preserve">Montanans </w:t>
      </w:r>
      <w:r w:rsidR="0E55CA8B">
        <w:t xml:space="preserve">who have experienced job loss or extreme increases in rent </w:t>
      </w:r>
      <w:r>
        <w:t>face instability and an increased risk of homelessness. By identifying these characteristics in association with the “At risk of homelessness” definition § 576.2 (1) (iii) (G), ESG allows Homeless Prevention funds to assist these individuals and families so that subrecipients may help program participants regain stability in their current permanent housing or achieve stability in other permanent housing, ultimately preventing an individual or family from moving into an emergency shelter or another place described in paragraph (1) of the “homeless” definition in § 576.2.</w:t>
      </w:r>
    </w:p>
    <w:p w14:paraId="3E30E554" w14:textId="77777777" w:rsidR="007E5BF0" w:rsidRDefault="007E5BF0" w:rsidP="007E5BF0"/>
    <w:p w14:paraId="74DA9C68" w14:textId="5BA65BF5" w:rsidR="007E5BF0" w:rsidRDefault="15D4CFDC" w:rsidP="007E5BF0">
      <w:r>
        <w:t xml:space="preserve">In Plan Year </w:t>
      </w:r>
      <w:r w:rsidR="734A01BA">
        <w:t>5</w:t>
      </w:r>
      <w:r>
        <w:t xml:space="preserve">, HTF funds will also support homeless prevention activities by increasing and preserving the supply of </w:t>
      </w:r>
      <w:r w:rsidR="74F47F89">
        <w:t xml:space="preserve">permanent </w:t>
      </w:r>
      <w:r>
        <w:t>rental housing for extremely low-income households, particularly the homeless, disabled, elderly, and other disadvantaged populations.</w:t>
      </w:r>
      <w:r w:rsidR="5BA4D495">
        <w:t xml:space="preserve">  </w:t>
      </w:r>
      <w:r w:rsidR="0B8AA828">
        <w:t xml:space="preserve">Furthermore, </w:t>
      </w:r>
      <w:r w:rsidR="5BA4D495">
        <w:t>HOME-ARP funds will expand the supply of homes that benefit Qualifying Population</w:t>
      </w:r>
      <w:r w:rsidR="00F07B70">
        <w:t>s and ESFG funds are supporting health, safety, accessibility upgrades to emergency shelters and/or expansion of new shelter space.</w:t>
      </w:r>
    </w:p>
    <w:p w14:paraId="01AF3A45" w14:textId="77777777" w:rsidR="007E5BF0" w:rsidRDefault="007E5BF0" w:rsidP="007E5BF0"/>
    <w:p w14:paraId="3A5B1F8A" w14:textId="77777777" w:rsidR="007E5BF0" w:rsidRDefault="007E5BF0" w:rsidP="007E5BF0">
      <w:pPr>
        <w:pStyle w:val="Heading3"/>
      </w:pPr>
      <w:r>
        <w:t>Discussion</w:t>
      </w:r>
    </w:p>
    <w:p w14:paraId="54D5CCFF" w14:textId="493E44FE" w:rsidR="007E5BF0" w:rsidRDefault="007E5BF0" w:rsidP="007E5BF0">
      <w:r>
        <w:t>See SP-60 Homelessness Strategy</w:t>
      </w:r>
      <w:r w:rsidR="00E50AF3">
        <w:t xml:space="preserve"> in the 2020-2024 Consolidated Plan</w:t>
      </w:r>
      <w:r>
        <w:t xml:space="preserve"> for more information about Montana’s strategy for reducing homelessness and addressing other special needs.</w:t>
      </w:r>
    </w:p>
    <w:p w14:paraId="292637A4" w14:textId="77777777" w:rsidR="007E5BF0" w:rsidRPr="004D3A76" w:rsidRDefault="007E5BF0" w:rsidP="007E5BF0"/>
    <w:p w14:paraId="3A3162B9" w14:textId="77777777" w:rsidR="007E5BF0" w:rsidRDefault="007E5BF0" w:rsidP="003747A4">
      <w:pPr>
        <w:pStyle w:val="Heading2"/>
      </w:pPr>
      <w:bookmarkStart w:id="97" w:name="_Toc70505049"/>
      <w:bookmarkStart w:id="98" w:name="_Toc72413501"/>
      <w:r w:rsidRPr="0055734B">
        <w:t>AP-70 HOPWA Goals – 91.320(k)(4)</w:t>
      </w:r>
      <w:bookmarkEnd w:id="97"/>
      <w:bookmarkEnd w:id="98"/>
    </w:p>
    <w:p w14:paraId="13A52C60" w14:textId="77777777" w:rsidR="007E5BF0" w:rsidRPr="00D72240" w:rsidRDefault="007E5BF0" w:rsidP="007E5BF0">
      <w:r>
        <w:t xml:space="preserve">Because the State of Montana’s HOPWA funds are provided via competitive award and not through a formula grant, a discussion of HOPWA goals is not included herein. For information about the State’s HOPWA program, funded via </w:t>
      </w:r>
      <w:proofErr w:type="gramStart"/>
      <w:r>
        <w:t>competitive</w:t>
      </w:r>
      <w:proofErr w:type="gramEnd"/>
      <w:r>
        <w:t xml:space="preserve"> award, please see Montana’s HOPWA Annual Progress Report. </w:t>
      </w:r>
    </w:p>
    <w:p w14:paraId="42A41832" w14:textId="77777777" w:rsidR="007E5BF0" w:rsidRDefault="007E5BF0" w:rsidP="007E5BF0"/>
    <w:p w14:paraId="2C410E48" w14:textId="77777777" w:rsidR="007E5BF0" w:rsidRDefault="007E5BF0" w:rsidP="003747A4">
      <w:pPr>
        <w:pStyle w:val="Heading2"/>
      </w:pPr>
      <w:bookmarkStart w:id="99" w:name="_Toc70505050"/>
      <w:bookmarkStart w:id="100" w:name="_Toc72413502"/>
      <w:r>
        <w:t>AP-75 Barriers to affordable housing – 91.320(</w:t>
      </w:r>
      <w:proofErr w:type="spellStart"/>
      <w:r>
        <w:t>i</w:t>
      </w:r>
      <w:proofErr w:type="spellEnd"/>
      <w:r>
        <w:t>)</w:t>
      </w:r>
      <w:bookmarkEnd w:id="99"/>
      <w:bookmarkEnd w:id="100"/>
    </w:p>
    <w:p w14:paraId="56CDAB02" w14:textId="77777777" w:rsidR="007E5BF0" w:rsidRDefault="007E5BF0" w:rsidP="007E5BF0">
      <w:pPr>
        <w:pStyle w:val="Heading3"/>
      </w:pPr>
      <w:r>
        <w:t xml:space="preserve">Introduction </w:t>
      </w:r>
    </w:p>
    <w:p w14:paraId="24D59580" w14:textId="2BC6AD2D" w:rsidR="00084308" w:rsidRPr="00386982" w:rsidRDefault="3A065E91" w:rsidP="00084308">
      <w:r>
        <w:t>Local jurisdictions and the State Legislature determine land use controls, tax policies, zoning ordinances, building codes, fees and charges, growth limitations, and other policies and laws affecting affordable housing. Commerce and DPHHS encourage local jurisdictions and the State Legislature to consider possible impacts to affordable housing when updating policy and enacting laws.</w:t>
      </w:r>
      <w:r w:rsidRPr="6EE14823">
        <w:rPr>
          <w:color w:val="7030A0"/>
        </w:rPr>
        <w:t xml:space="preserve"> </w:t>
      </w:r>
      <w:r>
        <w:t xml:space="preserve">Furthermore, both agencies are committed to providing technical assistance to local governments and nonprofit </w:t>
      </w:r>
      <w:r w:rsidR="7E58C6FC">
        <w:t>organizations,</w:t>
      </w:r>
      <w:r>
        <w:t xml:space="preserve"> so they are in the best position to take maximum advantage of HUD and </w:t>
      </w:r>
      <w:r w:rsidR="34EDB81C">
        <w:t xml:space="preserve">the Montana </w:t>
      </w:r>
      <w:r>
        <w:t>Board of Housing programs to maintain a supply of, and facilitate the creation of new, affordable housing.</w:t>
      </w:r>
    </w:p>
    <w:p w14:paraId="2C506F96" w14:textId="77777777" w:rsidR="00084308" w:rsidRDefault="00084308" w:rsidP="007E5BF0"/>
    <w:p w14:paraId="2B26572D" w14:textId="2FB0CA5F" w:rsidR="007E5BF0" w:rsidRDefault="007E5BF0" w:rsidP="007E5BF0">
      <w:r>
        <w:t>Several barriers to affordable housing development, housing choice, and maintained residency in housing were identified in the Needs Assessment, Market Analysis, 2018 Fair Housing Survey (</w:t>
      </w:r>
      <w:r w:rsidRPr="00084308">
        <w:rPr>
          <w:bCs/>
        </w:rPr>
        <w:t>Appendix B</w:t>
      </w:r>
      <w:r w:rsidR="00336420" w:rsidRPr="00084308">
        <w:rPr>
          <w:bCs/>
        </w:rPr>
        <w:t xml:space="preserve"> </w:t>
      </w:r>
      <w:r w:rsidR="00336420" w:rsidRPr="001D5AB6">
        <w:rPr>
          <w:bCs/>
        </w:rPr>
        <w:t>of the 2020-2024 Consolidated Plan</w:t>
      </w:r>
      <w:r>
        <w:t>), and 2020 Housing and Community Development Survey (</w:t>
      </w:r>
      <w:r w:rsidRPr="00084308">
        <w:rPr>
          <w:bCs/>
        </w:rPr>
        <w:t>Appendix B</w:t>
      </w:r>
      <w:r w:rsidR="00336420">
        <w:rPr>
          <w:b/>
        </w:rPr>
        <w:t xml:space="preserve"> </w:t>
      </w:r>
      <w:r w:rsidR="00336420" w:rsidRPr="001D5AB6">
        <w:rPr>
          <w:bCs/>
        </w:rPr>
        <w:t>of the 2020-2024 Consolidated Plan</w:t>
      </w:r>
      <w:r>
        <w:t>).</w:t>
      </w:r>
    </w:p>
    <w:p w14:paraId="78EB1EF4" w14:textId="77777777" w:rsidR="007E5BF0" w:rsidRDefault="007E5BF0" w:rsidP="007E5BF0"/>
    <w:p w14:paraId="6F0F6D06" w14:textId="180210E0" w:rsidR="007E5BF0" w:rsidRDefault="007E5BF0" w:rsidP="007E5BF0">
      <w:r>
        <w:lastRenderedPageBreak/>
        <w:t>Participants in Commerce’s housing focus groups (</w:t>
      </w:r>
      <w:r w:rsidRPr="00084308">
        <w:rPr>
          <w:bCs/>
        </w:rPr>
        <w:t>Appendix C</w:t>
      </w:r>
      <w:r w:rsidR="00336420">
        <w:rPr>
          <w:b/>
        </w:rPr>
        <w:t xml:space="preserve"> </w:t>
      </w:r>
      <w:r w:rsidR="00336420" w:rsidRPr="001D5AB6">
        <w:rPr>
          <w:bCs/>
        </w:rPr>
        <w:t>of the 2020-2024 Consolidated Plan</w:t>
      </w:r>
      <w:r>
        <w:t xml:space="preserve">) outlined several barriers to affordable housing development, including: </w:t>
      </w:r>
    </w:p>
    <w:p w14:paraId="3DD67F15" w14:textId="16C817A6" w:rsidR="007E5BF0" w:rsidRDefault="007E5BF0" w:rsidP="007E5BF0">
      <w:pPr>
        <w:pStyle w:val="ListParagraph"/>
        <w:numPr>
          <w:ilvl w:val="0"/>
          <w:numId w:val="24"/>
        </w:numPr>
      </w:pPr>
      <w:r>
        <w:t>Capacity challenges at all levels (from the State to grantees and partners</w:t>
      </w:r>
      <w:proofErr w:type="gramStart"/>
      <w:r>
        <w:t>);</w:t>
      </w:r>
      <w:proofErr w:type="gramEnd"/>
    </w:p>
    <w:p w14:paraId="68D624DD" w14:textId="77777777" w:rsidR="007E5BF0" w:rsidRDefault="007E5BF0" w:rsidP="007E5BF0">
      <w:pPr>
        <w:pStyle w:val="ListParagraph"/>
        <w:numPr>
          <w:ilvl w:val="0"/>
          <w:numId w:val="24"/>
        </w:numPr>
      </w:pPr>
      <w:r>
        <w:t>Cumbersome grant processes and unpredictable grant timelines (e.g., grant application process and funding cycle</w:t>
      </w:r>
      <w:proofErr w:type="gramStart"/>
      <w:r>
        <w:t>);</w:t>
      </w:r>
      <w:proofErr w:type="gramEnd"/>
    </w:p>
    <w:p w14:paraId="7A512320" w14:textId="7B100FB8" w:rsidR="007E5BF0" w:rsidRDefault="007E5BF0" w:rsidP="007E5BF0">
      <w:pPr>
        <w:pStyle w:val="ListParagraph"/>
        <w:numPr>
          <w:ilvl w:val="0"/>
          <w:numId w:val="24"/>
        </w:numPr>
      </w:pPr>
      <w:r>
        <w:t xml:space="preserve">Insufficient program funding, which is exacerbated by the high and rising costs of </w:t>
      </w:r>
      <w:r w:rsidR="006754E4">
        <w:t xml:space="preserve">labor, </w:t>
      </w:r>
      <w:r>
        <w:t xml:space="preserve">building </w:t>
      </w:r>
      <w:r w:rsidR="006754E4">
        <w:t xml:space="preserve">materials </w:t>
      </w:r>
      <w:r>
        <w:t>and infrastructure; and</w:t>
      </w:r>
    </w:p>
    <w:p w14:paraId="15BD7199" w14:textId="77777777" w:rsidR="007E5BF0" w:rsidRDefault="007E5BF0" w:rsidP="007E5BF0">
      <w:pPr>
        <w:pStyle w:val="ListParagraph"/>
        <w:numPr>
          <w:ilvl w:val="0"/>
          <w:numId w:val="24"/>
        </w:numPr>
      </w:pPr>
      <w:r>
        <w:t>Design constraints.</w:t>
      </w:r>
    </w:p>
    <w:p w14:paraId="1FBBAE82" w14:textId="77777777" w:rsidR="007E5BF0" w:rsidRDefault="007E5BF0" w:rsidP="007E5BF0"/>
    <w:p w14:paraId="7E228657" w14:textId="77777777" w:rsidR="007E5BF0" w:rsidRDefault="007E5BF0" w:rsidP="007E5BF0">
      <w:r>
        <w:t xml:space="preserve">The 2018 Fair Housing Survey had 691 respondents. Takeaways from the survey are as follows. </w:t>
      </w:r>
    </w:p>
    <w:p w14:paraId="0D88C500" w14:textId="77777777" w:rsidR="007E5BF0" w:rsidRDefault="007E5BF0" w:rsidP="007E5BF0">
      <w:pPr>
        <w:pStyle w:val="ListParagraph"/>
        <w:numPr>
          <w:ilvl w:val="0"/>
          <w:numId w:val="23"/>
        </w:numPr>
      </w:pPr>
      <w:r>
        <w:t>Affordability and unit size were the most important factors in housing choice for both renters and owners.</w:t>
      </w:r>
    </w:p>
    <w:p w14:paraId="52FA3B2F" w14:textId="77777777" w:rsidR="007E5BF0" w:rsidRDefault="007E5BF0" w:rsidP="007E5BF0">
      <w:pPr>
        <w:pStyle w:val="ListParagraph"/>
        <w:numPr>
          <w:ilvl w:val="0"/>
          <w:numId w:val="23"/>
        </w:numPr>
      </w:pPr>
      <w:r>
        <w:t xml:space="preserve">36% of respondents indicated they had witnessed housing discrimination. Level of income was the primary </w:t>
      </w:r>
      <w:proofErr w:type="gramStart"/>
      <w:r>
        <w:t>grounds</w:t>
      </w:r>
      <w:proofErr w:type="gramEnd"/>
      <w:r>
        <w:t xml:space="preserve"> for perceived discrimination, followed by race and criminal background. Source of income, familial status, and disability were also listed as principal grounds of perceived discrimination.</w:t>
      </w:r>
    </w:p>
    <w:p w14:paraId="64BD5E07" w14:textId="77777777" w:rsidR="007E5BF0" w:rsidRDefault="007E5BF0" w:rsidP="007E5BF0">
      <w:pPr>
        <w:pStyle w:val="ListParagraph"/>
        <w:numPr>
          <w:ilvl w:val="0"/>
          <w:numId w:val="23"/>
        </w:numPr>
      </w:pPr>
      <w:r>
        <w:t>66% and 10% of respondents who witnessed discriminatory behavior said that perceived discrimination resulted from actions taken by rental owners/managers and PHA employees, respectively.</w:t>
      </w:r>
    </w:p>
    <w:p w14:paraId="4FCD1838" w14:textId="77777777" w:rsidR="007E5BF0" w:rsidRDefault="007E5BF0" w:rsidP="007E5BF0">
      <w:pPr>
        <w:pStyle w:val="ListParagraph"/>
        <w:numPr>
          <w:ilvl w:val="0"/>
          <w:numId w:val="23"/>
        </w:numPr>
      </w:pPr>
      <w:r>
        <w:t>More than 24% of respondents indicated they would not know what to do if they experienced or witnessed discrimination, and a staggering 85% of respondents said they were not familiar with or were only somewhat familiar with fair housing laws.</w:t>
      </w:r>
    </w:p>
    <w:p w14:paraId="0A2708D8" w14:textId="77777777" w:rsidR="007E5BF0" w:rsidRDefault="007E5BF0" w:rsidP="007E5BF0"/>
    <w:p w14:paraId="168AFA8C" w14:textId="77777777" w:rsidR="007E5BF0" w:rsidRDefault="007E5BF0" w:rsidP="007E5BF0">
      <w:r>
        <w:t>The 2020 Housing and Community Development Survey had 303 respondents; approximately 200 of these indicated that their community or organization faced barriers to decent, affordable housing. Barriers cited are as follows.</w:t>
      </w:r>
    </w:p>
    <w:p w14:paraId="6CBA898D" w14:textId="77777777" w:rsidR="007E5BF0" w:rsidRDefault="007E5BF0" w:rsidP="007E5BF0">
      <w:pPr>
        <w:pStyle w:val="ListParagraph"/>
        <w:numPr>
          <w:ilvl w:val="0"/>
          <w:numId w:val="25"/>
        </w:numPr>
      </w:pPr>
      <w:r>
        <w:t>Insufficient decent, affordable, and accessible housing stock—especially for persons with disabilities, seniors, the workforce, and individuals transitioning out of institutional and correctional facilities.</w:t>
      </w:r>
    </w:p>
    <w:p w14:paraId="4B3BC502" w14:textId="77777777" w:rsidR="007E5BF0" w:rsidRDefault="007E5BF0" w:rsidP="007E5BF0">
      <w:pPr>
        <w:pStyle w:val="ListParagraph"/>
        <w:numPr>
          <w:ilvl w:val="0"/>
          <w:numId w:val="25"/>
        </w:numPr>
      </w:pPr>
      <w:r>
        <w:t xml:space="preserve">Housing markets that price out low- to moderate-income families and service workers, especially housing markets in resort communities where short-term rentals are common and luxury homes are prevalent. </w:t>
      </w:r>
    </w:p>
    <w:p w14:paraId="4F01AF06" w14:textId="77777777" w:rsidR="007E5BF0" w:rsidRDefault="007E5BF0" w:rsidP="007E5BF0">
      <w:pPr>
        <w:pStyle w:val="ListParagraph"/>
        <w:numPr>
          <w:ilvl w:val="0"/>
          <w:numId w:val="25"/>
        </w:numPr>
      </w:pPr>
      <w:r>
        <w:t>Land availability and cost; development costs.</w:t>
      </w:r>
    </w:p>
    <w:p w14:paraId="0EA45618" w14:textId="77777777" w:rsidR="007E5BF0" w:rsidRDefault="007E5BF0" w:rsidP="007E5BF0">
      <w:pPr>
        <w:pStyle w:val="ListParagraph"/>
        <w:numPr>
          <w:ilvl w:val="0"/>
          <w:numId w:val="25"/>
        </w:numPr>
      </w:pPr>
      <w:r>
        <w:t>Restrictive building codes and zoning regulations.</w:t>
      </w:r>
    </w:p>
    <w:p w14:paraId="5187932F" w14:textId="77777777" w:rsidR="007E5BF0" w:rsidRDefault="007E5BF0" w:rsidP="007E5BF0">
      <w:pPr>
        <w:pStyle w:val="ListParagraph"/>
        <w:numPr>
          <w:ilvl w:val="0"/>
          <w:numId w:val="25"/>
        </w:numPr>
      </w:pPr>
      <w:r>
        <w:t>Funding and financing for decent, affordable housing.</w:t>
      </w:r>
    </w:p>
    <w:p w14:paraId="59266251" w14:textId="77777777" w:rsidR="007E5BF0" w:rsidRDefault="007E5BF0" w:rsidP="007E5BF0">
      <w:pPr>
        <w:pStyle w:val="ListParagraph"/>
        <w:numPr>
          <w:ilvl w:val="0"/>
          <w:numId w:val="25"/>
        </w:numPr>
      </w:pPr>
      <w:r>
        <w:t>Lack of supportive services and case management for special needs populations.</w:t>
      </w:r>
    </w:p>
    <w:p w14:paraId="30969B03" w14:textId="77777777" w:rsidR="007E5BF0" w:rsidRDefault="007E5BF0" w:rsidP="007E5BF0">
      <w:pPr>
        <w:pStyle w:val="ListParagraph"/>
        <w:numPr>
          <w:ilvl w:val="0"/>
          <w:numId w:val="25"/>
        </w:numPr>
      </w:pPr>
      <w:r>
        <w:t>Lack of public transportation for workers.</w:t>
      </w:r>
    </w:p>
    <w:p w14:paraId="1CC596E9" w14:textId="77777777" w:rsidR="007E5BF0" w:rsidRDefault="007E5BF0" w:rsidP="007E5BF0">
      <w:pPr>
        <w:pStyle w:val="ListParagraph"/>
        <w:numPr>
          <w:ilvl w:val="0"/>
          <w:numId w:val="25"/>
        </w:numPr>
      </w:pPr>
      <w:r>
        <w:t>Underutilized tenant-based rental subsidies (vouchers) resulting from limited housing options and uncooperative landlords.</w:t>
      </w:r>
    </w:p>
    <w:p w14:paraId="633B33CC" w14:textId="77777777" w:rsidR="007E5BF0" w:rsidRDefault="007E5BF0" w:rsidP="007E5BF0">
      <w:pPr>
        <w:pStyle w:val="ListParagraph"/>
        <w:numPr>
          <w:ilvl w:val="0"/>
          <w:numId w:val="25"/>
        </w:numPr>
      </w:pPr>
      <w:r>
        <w:t>Inadequate, coordinated planning efforts.</w:t>
      </w:r>
    </w:p>
    <w:p w14:paraId="713EFA10" w14:textId="77777777" w:rsidR="007E5BF0" w:rsidRDefault="007E5BF0" w:rsidP="007E5BF0">
      <w:pPr>
        <w:pStyle w:val="ListParagraph"/>
        <w:numPr>
          <w:ilvl w:val="0"/>
          <w:numId w:val="25"/>
        </w:numPr>
      </w:pPr>
      <w:r>
        <w:t xml:space="preserve">Developers </w:t>
      </w:r>
      <w:proofErr w:type="gramStart"/>
      <w:r>
        <w:t>not</w:t>
      </w:r>
      <w:proofErr w:type="gramEnd"/>
      <w:r>
        <w:t xml:space="preserve"> incentivized to develop in rural areas. </w:t>
      </w:r>
    </w:p>
    <w:p w14:paraId="180C39AA" w14:textId="77777777" w:rsidR="007E5BF0" w:rsidRDefault="007E5BF0" w:rsidP="007E5BF0"/>
    <w:p w14:paraId="280D005B" w14:textId="77777777" w:rsidR="007E5BF0" w:rsidRDefault="007E5BF0" w:rsidP="007E5BF0">
      <w:pPr>
        <w:pStyle w:val="Heading3"/>
      </w:pPr>
      <w:r>
        <w:lastRenderedPageBreak/>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14:paraId="757847F5" w14:textId="2FD2EFEB" w:rsidR="00084308" w:rsidRDefault="63679CEB" w:rsidP="007E5BF0">
      <w:r>
        <w:t xml:space="preserve">Although removing or ameliorating barriers to affordable housing falls primarily to local jurisdictions and the State Legislature, Commerce requires its CDBG, HOME, </w:t>
      </w:r>
      <w:r w:rsidR="19EE3ACE">
        <w:t>and</w:t>
      </w:r>
      <w:r>
        <w:t xml:space="preserve"> HTF grantees </w:t>
      </w:r>
      <w:r w:rsidR="057A1C10">
        <w:t xml:space="preserve">with projects consisting of five or more units </w:t>
      </w:r>
      <w:r>
        <w:t xml:space="preserve">to develop </w:t>
      </w:r>
      <w:r w:rsidR="66D43A5F">
        <w:t>project-specific</w:t>
      </w:r>
      <w:r>
        <w:t xml:space="preserve"> Affirmative Fair Housing Marketing Plan</w:t>
      </w:r>
      <w:r w:rsidR="3CFBCB8D">
        <w:t>s</w:t>
      </w:r>
      <w:r>
        <w:t xml:space="preserve"> (AFHMP). An approved AFHMP is one element of the special conditions of Commerce’s contracts with grantees</w:t>
      </w:r>
      <w:r w:rsidR="67748B2B">
        <w:t>,</w:t>
      </w:r>
      <w:r>
        <w:t xml:space="preserve"> and staff monitor compliance during CDBG, HOME, and HTF project visits.</w:t>
      </w:r>
    </w:p>
    <w:p w14:paraId="6BF5BB69" w14:textId="77777777" w:rsidR="007E5BF0" w:rsidRDefault="007E5BF0" w:rsidP="007E5BF0"/>
    <w:p w14:paraId="4B5AB55E" w14:textId="0342648B" w:rsidR="35B41F77" w:rsidRDefault="35B41F77" w:rsidP="2B242364">
      <w:r>
        <w:t xml:space="preserve">Commerce is </w:t>
      </w:r>
      <w:r w:rsidR="2329BE25">
        <w:t xml:space="preserve">newly </w:t>
      </w:r>
      <w:r>
        <w:t xml:space="preserve">assessing barriers to affordable housing as part of its </w:t>
      </w:r>
      <w:r w:rsidR="68100A02">
        <w:t xml:space="preserve">development of the </w:t>
      </w:r>
      <w:r>
        <w:t>2025-</w:t>
      </w:r>
      <w:r w:rsidR="3F67E0CE">
        <w:t xml:space="preserve">2029 Consolidated Plan and </w:t>
      </w:r>
      <w:r w:rsidR="3E17ADD1">
        <w:t xml:space="preserve">associated </w:t>
      </w:r>
      <w:r w:rsidR="3F67E0CE">
        <w:t>Equity Plan</w:t>
      </w:r>
      <w:r w:rsidR="3B1981F5">
        <w:t>.</w:t>
      </w:r>
      <w:r w:rsidR="00AE5584">
        <w:t xml:space="preserve"> This</w:t>
      </w:r>
      <w:r w:rsidR="7050D1D5">
        <w:t xml:space="preserve"> action will provide important data </w:t>
      </w:r>
      <w:r w:rsidR="07E1933C">
        <w:t>to all stakeholders working to remove and ameliorate the negative effects of public policies</w:t>
      </w:r>
      <w:r w:rsidR="6B61685F">
        <w:t xml:space="preserve"> currently serving as barriers to affordable housing and fair housing choice</w:t>
      </w:r>
      <w:r w:rsidR="07E1933C">
        <w:t>.</w:t>
      </w:r>
    </w:p>
    <w:p w14:paraId="595FF34B" w14:textId="346DA444" w:rsidR="2B242364" w:rsidRDefault="2B242364" w:rsidP="2B242364"/>
    <w:p w14:paraId="4D23A92C" w14:textId="77777777" w:rsidR="007E5BF0" w:rsidRDefault="007E5BF0" w:rsidP="007E5BF0">
      <w:pPr>
        <w:pStyle w:val="Heading3"/>
      </w:pPr>
      <w:r>
        <w:t>Discussion</w:t>
      </w:r>
    </w:p>
    <w:p w14:paraId="6C1DEAE7" w14:textId="4D8FC661" w:rsidR="007E5BF0" w:rsidRPr="00501D06" w:rsidRDefault="00084308" w:rsidP="007E5BF0">
      <w:r>
        <w:t>T</w:t>
      </w:r>
      <w:r w:rsidR="007E5BF0">
        <w:t xml:space="preserve">he State will continue to </w:t>
      </w:r>
      <w:r w:rsidR="001F1F7B">
        <w:t xml:space="preserve">use its resources to inform local jurisdictions and the State Legislature as they perform their duty to </w:t>
      </w:r>
      <w:r w:rsidR="007E5BF0">
        <w:t xml:space="preserve">address barriers to affordable housing. </w:t>
      </w:r>
    </w:p>
    <w:p w14:paraId="52C98BAA" w14:textId="77777777" w:rsidR="007E5BF0" w:rsidRPr="00501D06" w:rsidRDefault="007E5BF0" w:rsidP="007E5BF0"/>
    <w:p w14:paraId="474D9F75" w14:textId="283C8E0B" w:rsidR="00A7062C" w:rsidRDefault="167FC59B" w:rsidP="54FDEEE5">
      <w:r>
        <w:t>In July 2022, Governor Gianforte issued Executive Order No. 5-2022 creating the Housing Advisory Council, also known as the Governor’s Housing Task Force. The purpose of the Task Force was to “provide the Governor with short- and long-term recommendations and strategies for the State of Montana to increase the supply of affordable, attainable workforce housing.” This 30-member, bipartisan Task Force was directed to provide two written reports. First, a written report by October 15, 2022 “with recommendations and strategies to increase the supply of affordable, attainable workforce housing, specifically focusing on measures the Legislature could consider and the Governor could sign into law.” Second, a written report by December 15, 2022 “with recommendations and strategies to increase the supply of affordable, attainable workforce housing, specifically focusing on regulatory changes and best practices that could be adopted by state agencies and local governments.”</w:t>
      </w:r>
    </w:p>
    <w:p w14:paraId="07EB1FF4" w14:textId="77777777" w:rsidR="00A7062C" w:rsidRDefault="00A7062C" w:rsidP="00A7062C"/>
    <w:p w14:paraId="62357BF3" w14:textId="77777777" w:rsidR="00A7062C" w:rsidRDefault="00A7062C" w:rsidP="00A7062C">
      <w:r>
        <w:t>As a result of the Task Force recommendations and a broad, bipartisan coalition, the State of Montana 68</w:t>
      </w:r>
      <w:r w:rsidRPr="54FDEEE5">
        <w:rPr>
          <w:vertAlign w:val="superscript"/>
        </w:rPr>
        <w:t>th</w:t>
      </w:r>
      <w:r>
        <w:t xml:space="preserve"> Legislature passed a suite of significant land use and zoning ordinance bills, which were recently signed into law. These bills include but are not limited to:</w:t>
      </w:r>
    </w:p>
    <w:p w14:paraId="38E10ED7" w14:textId="77777777" w:rsidR="00A7062C" w:rsidRDefault="00A7062C" w:rsidP="00A7062C">
      <w:pPr>
        <w:pStyle w:val="ListParagraph"/>
        <w:numPr>
          <w:ilvl w:val="0"/>
          <w:numId w:val="31"/>
        </w:numPr>
      </w:pPr>
      <w:r>
        <w:t>Montana Land Use Planning Act, which requires local governments to plan for future housing needs and adopt pro-housing zoning reforms.</w:t>
      </w:r>
    </w:p>
    <w:p w14:paraId="2D0327B9" w14:textId="77777777" w:rsidR="00A7062C" w:rsidRDefault="27984B62" w:rsidP="00A7062C">
      <w:pPr>
        <w:pStyle w:val="ListParagraph"/>
        <w:numPr>
          <w:ilvl w:val="0"/>
          <w:numId w:val="31"/>
        </w:numPr>
      </w:pPr>
      <w:r>
        <w:t>Revise zoning laws related to Accessory Dwelling Units (ADUs), to give landowners more freedom to respond to housing needs.</w:t>
      </w:r>
    </w:p>
    <w:p w14:paraId="6D17A0F9" w14:textId="77777777" w:rsidR="00A7062C" w:rsidRDefault="00A7062C" w:rsidP="00A7062C">
      <w:pPr>
        <w:pStyle w:val="ListParagraph"/>
        <w:numPr>
          <w:ilvl w:val="0"/>
          <w:numId w:val="31"/>
        </w:numPr>
      </w:pPr>
      <w:r>
        <w:t>Allow for duplex, triplex, and fourplex housing in city zoning, to end exclusionary zoning and increase access to starter homes and “missing middle” housing.</w:t>
      </w:r>
    </w:p>
    <w:p w14:paraId="3E875636" w14:textId="77777777" w:rsidR="00A7062C" w:rsidRDefault="00A7062C" w:rsidP="00A7062C">
      <w:pPr>
        <w:pStyle w:val="ListParagraph"/>
        <w:numPr>
          <w:ilvl w:val="0"/>
          <w:numId w:val="31"/>
        </w:numPr>
      </w:pPr>
      <w:r>
        <w:t xml:space="preserve">Revise municipal zoning to allow multifamily and mixed-use development, to build denser homes in urban areas and protect our open spaces from sprawl.  </w:t>
      </w:r>
    </w:p>
    <w:p w14:paraId="35C8039C" w14:textId="77777777" w:rsidR="00F07B70" w:rsidRDefault="00F07B70" w:rsidP="00F07B70"/>
    <w:p w14:paraId="6D41C935" w14:textId="77777777" w:rsidR="00F07B70" w:rsidRDefault="00F07B70" w:rsidP="00F07B70">
      <w:r>
        <w:t>The Governor’s Housing Task Force reconvened in October 2023 and is currently evaluating successes from the 68</w:t>
      </w:r>
      <w:r w:rsidRPr="00DA7DDF">
        <w:rPr>
          <w:vertAlign w:val="superscript"/>
        </w:rPr>
        <w:t>th</w:t>
      </w:r>
      <w:r>
        <w:t xml:space="preserve"> Legislative session, including local government implementation of land use reforms to comply with new state laws, as well as identifying remaining challenges. The Task Force will produce another report later in 2024 with additional recommendations. Some areas of focus have included parking reforms, minimum lot sizes, litigation against the state and/or municipalities over allowing </w:t>
      </w:r>
      <w:r>
        <w:lastRenderedPageBreak/>
        <w:t xml:space="preserve">housing, allowing for one staircase in multifamily residential construction, legalizing micro-units/co-housing, and additional financing tools to support infrastructure for new housing growth.    </w:t>
      </w:r>
    </w:p>
    <w:p w14:paraId="6EB21ECF" w14:textId="77777777" w:rsidR="00F07B70" w:rsidRDefault="00F07B70" w:rsidP="00F07B70"/>
    <w:p w14:paraId="51EDA9AF" w14:textId="77777777" w:rsidR="00A7062C" w:rsidRPr="004D3A76" w:rsidRDefault="00A7062C" w:rsidP="007E5BF0"/>
    <w:p w14:paraId="3EEDE0A2" w14:textId="77777777" w:rsidR="007E5BF0" w:rsidRDefault="007E5BF0" w:rsidP="003747A4">
      <w:pPr>
        <w:pStyle w:val="Heading2"/>
      </w:pPr>
      <w:bookmarkStart w:id="101" w:name="_Toc70505051"/>
      <w:bookmarkStart w:id="102" w:name="_Toc72413503"/>
      <w:r>
        <w:t>AP-85 Other Actions – 91.320(j)</w:t>
      </w:r>
      <w:bookmarkEnd w:id="101"/>
      <w:bookmarkEnd w:id="102"/>
    </w:p>
    <w:p w14:paraId="46CF75AD" w14:textId="77777777" w:rsidR="007E5BF0" w:rsidRDefault="007E5BF0" w:rsidP="007E5BF0">
      <w:pPr>
        <w:pStyle w:val="Heading3"/>
      </w:pPr>
      <w:r>
        <w:t xml:space="preserve">Introduction </w:t>
      </w:r>
    </w:p>
    <w:p w14:paraId="1FE24AFC" w14:textId="35588658" w:rsidR="007E5BF0" w:rsidRDefault="007E5BF0" w:rsidP="007E5BF0">
      <w:r w:rsidRPr="0010512F">
        <w:t xml:space="preserve">The following are actions planned for </w:t>
      </w:r>
      <w:r>
        <w:t xml:space="preserve">Plan </w:t>
      </w:r>
      <w:r w:rsidRPr="0010512F">
        <w:t xml:space="preserve">Year </w:t>
      </w:r>
      <w:r w:rsidR="0018112A">
        <w:t>5</w:t>
      </w:r>
      <w:r w:rsidR="0018112A" w:rsidRPr="0010512F">
        <w:t xml:space="preserve"> </w:t>
      </w:r>
      <w:r>
        <w:t>of</w:t>
      </w:r>
      <w:r w:rsidRPr="0010512F">
        <w:t xml:space="preserve"> </w:t>
      </w:r>
      <w:r>
        <w:t>the</w:t>
      </w:r>
      <w:r w:rsidRPr="0010512F">
        <w:t xml:space="preserve"> </w:t>
      </w:r>
      <w:r>
        <w:t xml:space="preserve">5-year </w:t>
      </w:r>
      <w:r w:rsidRPr="0010512F">
        <w:t>Consolidated Plan period.</w:t>
      </w:r>
    </w:p>
    <w:p w14:paraId="476376EB" w14:textId="77777777" w:rsidR="007E5BF0" w:rsidRDefault="007E5BF0" w:rsidP="007E5BF0"/>
    <w:p w14:paraId="4DD5F940" w14:textId="77777777" w:rsidR="007E5BF0" w:rsidRDefault="007E5BF0" w:rsidP="007E5BF0">
      <w:pPr>
        <w:pStyle w:val="Heading3"/>
      </w:pPr>
      <w:r>
        <w:t>Actions planned to address obstacles to meeting underserved needs</w:t>
      </w:r>
    </w:p>
    <w:p w14:paraId="24C7EAF6" w14:textId="77777777" w:rsidR="007E5BF0" w:rsidRDefault="007E5BF0" w:rsidP="007E5BF0">
      <w:r w:rsidRPr="0010512F">
        <w:t xml:space="preserve">All activities which will be funded under the State’s CDBG, HOME, HTF, and ESG </w:t>
      </w:r>
      <w:r>
        <w:t>p</w:t>
      </w:r>
      <w:r w:rsidRPr="0010512F">
        <w:t>rograms will address obstacles to meeting underserved needs. The State will identify and respond to underserved needs as they arise from self-evaluation and citizen participation. In addition, the State continually provides technical assistance and planning resources to help communities engage in comprehensive planning, downtown master planning, business development planning, market studies, preliminary architectural reports, asset management, needs analysis, preliminary engineering, disaster planning, and other studies or plans that support the sustainability of local communities, affordable housing, public works investments, vital employment centers, and the environment.</w:t>
      </w:r>
    </w:p>
    <w:p w14:paraId="248DA9A0" w14:textId="77777777" w:rsidR="007E5BF0" w:rsidRDefault="007E5BF0" w:rsidP="007E5BF0"/>
    <w:p w14:paraId="69B112D3" w14:textId="77777777" w:rsidR="007E5BF0" w:rsidRDefault="007E5BF0" w:rsidP="007E5BF0">
      <w:pPr>
        <w:pStyle w:val="Heading3"/>
      </w:pPr>
      <w:r>
        <w:t>Actions planned to foster and maintain affordable housing</w:t>
      </w:r>
    </w:p>
    <w:p w14:paraId="492C0F3B" w14:textId="2A94F75F" w:rsidR="007E5BF0" w:rsidRDefault="007E5BF0" w:rsidP="331F13D3">
      <w:r>
        <w:t xml:space="preserve">The State has identified preserving and constructing affordable housing as one of its high priority needs. As set forth in this Consolidated Plan, actions planned to foster and maintain affordable housing include developing additional </w:t>
      </w:r>
      <w:r w:rsidR="39E308AD">
        <w:t xml:space="preserve">and rehabilitating existing </w:t>
      </w:r>
      <w:r>
        <w:t>rental housing, developing additional homeownership units, providing down payment assistance, providing owner-occupied rehabilitation, and supporting other housing activities. These actions will be funded through the HOME, CDBG, and HTF programs, as set forth above.</w:t>
      </w:r>
    </w:p>
    <w:p w14:paraId="3A511776" w14:textId="77777777" w:rsidR="007E5BF0" w:rsidRDefault="007E5BF0" w:rsidP="007E5BF0"/>
    <w:p w14:paraId="53FDD937" w14:textId="77777777" w:rsidR="007E5BF0" w:rsidRDefault="1664CBFB" w:rsidP="007E5BF0">
      <w:pPr>
        <w:pStyle w:val="Heading3"/>
      </w:pPr>
      <w:r>
        <w:t>Actions planned to reduce lead-based paint hazards</w:t>
      </w:r>
    </w:p>
    <w:p w14:paraId="4C82FA88" w14:textId="41B97BED" w:rsidR="007E5BF0" w:rsidRDefault="007E5BF0" w:rsidP="007E5BF0">
      <w:r>
        <w:t xml:space="preserve">The State will continue to diligently undertake rehabilitation and construction activities to ensure that households, particularly those with children, benefitting from federal housing programs are safe from </w:t>
      </w:r>
      <w:r w:rsidR="77CC6985">
        <w:t>lead-based paint (</w:t>
      </w:r>
      <w:r>
        <w:t>LBP</w:t>
      </w:r>
      <w:r w:rsidR="0A2F1AA5">
        <w:t>)</w:t>
      </w:r>
      <w:r>
        <w:t xml:space="preserve"> hazards and comply with current requirements of Title X of the Residential Lead Based Paint Hazard Reduction Act of 1992</w:t>
      </w:r>
      <w:r w:rsidR="00F07B70">
        <w:t>, HUD’s Lead Safe Housing Rule and other applicable federal laws and regulations</w:t>
      </w:r>
      <w:r>
        <w:t>. Both Commerce and DPHHS provide education and information on LBP hazards to parents, families, healthcare providers, grant recipients, and contractors. Commerce requires that any contractor or subcontractor engaged in renovation, repair, and painting activities that disturb LBP in homes and childcare facilities built before 1978 is certified and follows specific work practices to prevent lead contamination. In addition to complying with Title X, UPCS</w:t>
      </w:r>
      <w:r w:rsidR="00F07B70">
        <w:t>, LSHR,</w:t>
      </w:r>
      <w:r>
        <w:t xml:space="preserve"> </w:t>
      </w:r>
      <w:r w:rsidR="7C9F5B9D">
        <w:t xml:space="preserve">or NSPIRE </w:t>
      </w:r>
      <w:r>
        <w:t xml:space="preserve">inspections are performed on all homes (renter or owner-occupied) assisted with HTF, HOME, Section 8, and other public funds. </w:t>
      </w:r>
    </w:p>
    <w:p w14:paraId="57D20E4B" w14:textId="77777777" w:rsidR="007E5BF0" w:rsidRDefault="007E5BF0" w:rsidP="007E5BF0"/>
    <w:p w14:paraId="307B39C0" w14:textId="2026A4EE" w:rsidR="007E5BF0" w:rsidRDefault="15D4CFDC" w:rsidP="007E5BF0">
      <w:r>
        <w:t xml:space="preserve">UPCS </w:t>
      </w:r>
      <w:r w:rsidR="3E490683">
        <w:t xml:space="preserve">or NSPIRE </w:t>
      </w:r>
      <w:r>
        <w:t>inspections</w:t>
      </w:r>
      <w:r w:rsidR="7985AE39">
        <w:t>, as applicable,</w:t>
      </w:r>
      <w:r>
        <w:t xml:space="preserve"> are also conducted on all homes purchased with HOME assistance prior to the commitment of HOME funds. State staff conducting UPCS </w:t>
      </w:r>
      <w:r w:rsidR="3F8E5F3E">
        <w:t xml:space="preserve">or NSPIRE </w:t>
      </w:r>
      <w:r>
        <w:t xml:space="preserve">inspections complete </w:t>
      </w:r>
      <w:r w:rsidR="3866A241">
        <w:t xml:space="preserve">relevant </w:t>
      </w:r>
      <w:proofErr w:type="gramStart"/>
      <w:r>
        <w:t>training</w:t>
      </w:r>
      <w:r w:rsidR="4EEBF37F">
        <w:t>s</w:t>
      </w:r>
      <w:proofErr w:type="gramEnd"/>
      <w:r>
        <w:t xml:space="preserve"> as well as HUD’s online Lead-Based Paint Visual Assessment Training.</w:t>
      </w:r>
    </w:p>
    <w:p w14:paraId="026340D0" w14:textId="77777777" w:rsidR="007E5BF0" w:rsidRDefault="007E5BF0" w:rsidP="007E5BF0"/>
    <w:p w14:paraId="34BA18AC" w14:textId="77777777" w:rsidR="007E5BF0" w:rsidRDefault="007E5BF0" w:rsidP="007E5BF0">
      <w:r>
        <w:t>Units that ESG-eligible households live in or move into must adhere to LBP requirements as set forth by HUD.</w:t>
      </w:r>
    </w:p>
    <w:p w14:paraId="6BD3EC63" w14:textId="12BACDC5" w:rsidR="54FDEEE5" w:rsidRDefault="54FDEEE5" w:rsidP="54FDEEE5"/>
    <w:p w14:paraId="275613B4" w14:textId="448B2401" w:rsidR="6F1ABAC9" w:rsidRDefault="2825F8BF" w:rsidP="54FDEEE5">
      <w:pPr>
        <w:pStyle w:val="Heading3"/>
      </w:pPr>
      <w:r>
        <w:lastRenderedPageBreak/>
        <w:t>Actions planned to reduce lead in drinking water</w:t>
      </w:r>
    </w:p>
    <w:p w14:paraId="71EA21E8" w14:textId="37B7DE99" w:rsidR="6F1ABAC9" w:rsidRDefault="6F1ABAC9" w:rsidP="54FDEEE5">
      <w:r>
        <w:t>With</w:t>
      </w:r>
      <w:r w:rsidR="6CA16EFF">
        <w:t xml:space="preserve"> federal</w:t>
      </w:r>
      <w:r>
        <w:t xml:space="preserve"> funding from the American Rescue Plan </w:t>
      </w:r>
      <w:r w:rsidR="211B537E">
        <w:t>Act</w:t>
      </w:r>
      <w:r w:rsidR="65C15B35">
        <w:t xml:space="preserve"> of 2021 (ARPA)</w:t>
      </w:r>
      <w:r w:rsidR="38D5FE2B">
        <w:t xml:space="preserve"> and the Infrastructure Investment and Jobs Act</w:t>
      </w:r>
      <w:r w:rsidR="68F10E38">
        <w:t xml:space="preserve"> of 2021 (IIJA)</w:t>
      </w:r>
      <w:r w:rsidR="38D5FE2B">
        <w:t xml:space="preserve">, the State is engaging in cross-agency efforts to </w:t>
      </w:r>
      <w:r w:rsidR="0FA8F1A6">
        <w:t>reduce lead in</w:t>
      </w:r>
      <w:r w:rsidR="4E036AEE">
        <w:t xml:space="preserve"> schools and</w:t>
      </w:r>
      <w:r w:rsidR="0FA8F1A6">
        <w:t xml:space="preserve"> public drinking water systems. Commerce is</w:t>
      </w:r>
      <w:r w:rsidR="6C13F2A3">
        <w:t xml:space="preserve"> </w:t>
      </w:r>
      <w:r w:rsidR="4C5C819F">
        <w:t xml:space="preserve">using ARPA funding </w:t>
      </w:r>
      <w:r w:rsidR="7A145781">
        <w:t xml:space="preserve">and working </w:t>
      </w:r>
      <w:r w:rsidR="6C13F2A3">
        <w:t>with the Montana Depar</w:t>
      </w:r>
      <w:r w:rsidR="12DE1ADF">
        <w:t xml:space="preserve">tment of Natural Resources and </w:t>
      </w:r>
      <w:r w:rsidR="2F80F5DE">
        <w:t>Conservation</w:t>
      </w:r>
      <w:r w:rsidR="12DE1ADF">
        <w:t xml:space="preserve"> (DNRC) </w:t>
      </w:r>
      <w:r w:rsidR="48DF78B7">
        <w:t xml:space="preserve">and the Montana Department of Environmental Quality (DEQ) </w:t>
      </w:r>
      <w:r w:rsidR="12DE1ADF">
        <w:t xml:space="preserve">to provide technical assistance to schools to identify the presence of lead in </w:t>
      </w:r>
      <w:r w:rsidR="45755F6A">
        <w:t xml:space="preserve">facility </w:t>
      </w:r>
      <w:r w:rsidR="12DE1ADF">
        <w:t xml:space="preserve">plumbing and identify and obtain funding </w:t>
      </w:r>
      <w:r w:rsidR="00D1A282">
        <w:t xml:space="preserve">for its </w:t>
      </w:r>
      <w:r w:rsidR="57C3FF8D">
        <w:t>permanent</w:t>
      </w:r>
      <w:r w:rsidR="6936337D">
        <w:t xml:space="preserve"> removal or treatment</w:t>
      </w:r>
      <w:r w:rsidR="57C3FF8D">
        <w:t xml:space="preserve">. </w:t>
      </w:r>
      <w:r w:rsidR="6C890532">
        <w:t xml:space="preserve">In addition, </w:t>
      </w:r>
      <w:r w:rsidR="57C3FF8D">
        <w:t xml:space="preserve">Commerce is </w:t>
      </w:r>
      <w:r w:rsidR="4EDBE093">
        <w:t xml:space="preserve">using IIJA funding and </w:t>
      </w:r>
      <w:r w:rsidR="57C3FF8D">
        <w:t>working with</w:t>
      </w:r>
      <w:r w:rsidR="779F8767">
        <w:t xml:space="preserve"> DEQ to perform inventories of the presence of lead in the drinking water service lines that</w:t>
      </w:r>
      <w:r w:rsidR="44A09FDD">
        <w:t xml:space="preserve"> connect residential properties to </w:t>
      </w:r>
      <w:r w:rsidR="57F4F7D0">
        <w:t xml:space="preserve">public </w:t>
      </w:r>
      <w:r w:rsidR="44A09FDD">
        <w:t xml:space="preserve">drinking water </w:t>
      </w:r>
      <w:r w:rsidR="7AEDF1F3">
        <w:t xml:space="preserve">systems </w:t>
      </w:r>
      <w:r w:rsidR="44A09FDD">
        <w:t>to prepare communities to apply for IIJA funding to replace lead service lines</w:t>
      </w:r>
      <w:r w:rsidR="58832E7A">
        <w:t xml:space="preserve"> permanently eliminating one of the most complicated remaining sources of lead in drinking water. Though the presence of lead in drinking water is ubiquitous across </w:t>
      </w:r>
      <w:r w:rsidR="3763713B">
        <w:t xml:space="preserve">Montana communities, </w:t>
      </w:r>
      <w:r w:rsidR="6727E022">
        <w:t xml:space="preserve">low-to-moderate income persons are disproportionately affected </w:t>
      </w:r>
      <w:r w:rsidR="1E3C75A1">
        <w:t>by continued exposure and</w:t>
      </w:r>
      <w:r w:rsidR="7E233755">
        <w:t xml:space="preserve"> </w:t>
      </w:r>
      <w:r w:rsidR="1E3C75A1">
        <w:t>have fewer reso</w:t>
      </w:r>
      <w:r w:rsidR="3997A7CF">
        <w:t>urces for its removal</w:t>
      </w:r>
      <w:r w:rsidR="1E3C75A1">
        <w:t>.</w:t>
      </w:r>
    </w:p>
    <w:p w14:paraId="62513F4C" w14:textId="77777777" w:rsidR="007E5BF0" w:rsidRDefault="007E5BF0" w:rsidP="007E5BF0"/>
    <w:p w14:paraId="1F06E04B" w14:textId="3EDF3E19" w:rsidR="2D7A00DF" w:rsidRDefault="2D7A00DF" w:rsidP="331F13D3">
      <w:r>
        <w:t xml:space="preserve">As required </w:t>
      </w:r>
      <w:r w:rsidR="3485A39F">
        <w:t>per</w:t>
      </w:r>
      <w:r w:rsidR="729E593E">
        <w:t xml:space="preserve"> 24 CFR 93.</w:t>
      </w:r>
      <w:r w:rsidR="3485A39F">
        <w:t>301(f)(xiii),</w:t>
      </w:r>
      <w:r>
        <w:t xml:space="preserve"> before completion</w:t>
      </w:r>
      <w:r w:rsidR="3485A39F">
        <w:t xml:space="preserve"> of </w:t>
      </w:r>
      <w:r>
        <w:t>HTF-assisted properties, property owners must provide documentation from a licensed architect that no lead pipes or solder were used in the project activities.</w:t>
      </w:r>
    </w:p>
    <w:p w14:paraId="187CCAE8" w14:textId="33AF1EB9" w:rsidR="331F13D3" w:rsidRDefault="331F13D3" w:rsidP="331F13D3"/>
    <w:p w14:paraId="61F63C05" w14:textId="77777777" w:rsidR="007E5BF0" w:rsidRDefault="007E5BF0" w:rsidP="007E5BF0">
      <w:pPr>
        <w:pStyle w:val="Heading3"/>
      </w:pPr>
      <w:r>
        <w:t>Actions planned to reduce the number of poverty-level families</w:t>
      </w:r>
    </w:p>
    <w:p w14:paraId="3E697DDC" w14:textId="1FBA5307" w:rsidR="007E5BF0" w:rsidRDefault="007E5BF0" w:rsidP="007E5BF0">
      <w:r>
        <w:t>The State, in coordination with non</w:t>
      </w:r>
      <w:r w:rsidRPr="0010512F">
        <w:t xml:space="preserve">profit organizations and the private sector, </w:t>
      </w:r>
      <w:r>
        <w:t>work to</w:t>
      </w:r>
      <w:r w:rsidRPr="0010512F">
        <w:t xml:space="preserve"> </w:t>
      </w:r>
      <w:r>
        <w:t>ensure</w:t>
      </w:r>
      <w:r w:rsidRPr="0010512F">
        <w:t xml:space="preserve"> individuals and families </w:t>
      </w:r>
      <w:r>
        <w:t>have pathways out of</w:t>
      </w:r>
      <w:r w:rsidRPr="0010512F">
        <w:t xml:space="preserve"> poverty by supporting local and regional efforts to </w:t>
      </w:r>
      <w:r>
        <w:t>increase household</w:t>
      </w:r>
      <w:r w:rsidRPr="0010512F">
        <w:t xml:space="preserve"> incomes</w:t>
      </w:r>
      <w:r>
        <w:t xml:space="preserve"> and provide affordable housing options</w:t>
      </w:r>
      <w:r w:rsidRPr="0010512F">
        <w:t xml:space="preserve">. </w:t>
      </w:r>
      <w:proofErr w:type="gramStart"/>
      <w:r w:rsidRPr="0010512F">
        <w:t>All of</w:t>
      </w:r>
      <w:proofErr w:type="gramEnd"/>
      <w:r w:rsidRPr="0010512F">
        <w:t xml:space="preserve"> the strategies and priorities identified in </w:t>
      </w:r>
      <w:r>
        <w:t>this AAP</w:t>
      </w:r>
      <w:r w:rsidRPr="0010512F">
        <w:t xml:space="preserve"> target the improvement of economic conditions </w:t>
      </w:r>
      <w:r>
        <w:t>for</w:t>
      </w:r>
      <w:r w:rsidRPr="0010512F">
        <w:t xml:space="preserve"> Montanans of low </w:t>
      </w:r>
      <w:r>
        <w:t xml:space="preserve">to moderate </w:t>
      </w:r>
      <w:r w:rsidRPr="0010512F">
        <w:t xml:space="preserve">income, from the rehabilitation and </w:t>
      </w:r>
      <w:r>
        <w:t xml:space="preserve">new </w:t>
      </w:r>
      <w:r w:rsidRPr="0010512F">
        <w:t xml:space="preserve">construction of affordable </w:t>
      </w:r>
      <w:r>
        <w:t>units</w:t>
      </w:r>
      <w:r w:rsidRPr="0010512F">
        <w:t>, homebuyer assistance, and temporary shelter services to investment in compact, walkable development where efficiencies of public infrastructure, community services, and employment centers encourage health</w:t>
      </w:r>
      <w:r>
        <w:t>y</w:t>
      </w:r>
      <w:r w:rsidRPr="0010512F">
        <w:t xml:space="preserve">, vital, and resilient communities. </w:t>
      </w:r>
    </w:p>
    <w:p w14:paraId="700E25EE" w14:textId="77777777" w:rsidR="007E5BF0" w:rsidRDefault="007E5BF0" w:rsidP="007E5BF0"/>
    <w:p w14:paraId="69D20076" w14:textId="2A3B4773" w:rsidR="007E5BF0" w:rsidRDefault="007E5BF0" w:rsidP="007E5BF0">
      <w:r w:rsidRPr="00E50AF3">
        <w:rPr>
          <w:bCs/>
        </w:rPr>
        <w:t>Appendix F</w:t>
      </w:r>
      <w:r w:rsidR="00E50AF3" w:rsidRPr="00E50AF3">
        <w:rPr>
          <w:bCs/>
        </w:rPr>
        <w:t xml:space="preserve"> of the 2020-2024 Consolidated Plan</w:t>
      </w:r>
      <w:r>
        <w:t xml:space="preserve"> discusses poverty in Montana over the last two decades and includes the state’s poverty rate as well as its geographic distribution. </w:t>
      </w:r>
    </w:p>
    <w:p w14:paraId="3868A960" w14:textId="77777777" w:rsidR="007E5BF0" w:rsidRDefault="007E5BF0" w:rsidP="007E5BF0"/>
    <w:p w14:paraId="2236A10B" w14:textId="77777777" w:rsidR="007E5BF0" w:rsidRDefault="007E5BF0" w:rsidP="007E5BF0">
      <w:pPr>
        <w:pStyle w:val="Heading3"/>
      </w:pPr>
      <w:r>
        <w:t xml:space="preserve">Actions planned to develop institutional structure </w:t>
      </w:r>
    </w:p>
    <w:p w14:paraId="24CCDC51" w14:textId="32E1A01C" w:rsidR="007E5BF0" w:rsidRPr="0010512F" w:rsidRDefault="007E5BF0" w:rsidP="331F13D3">
      <w:r>
        <w:t xml:space="preserve">Gaps in the institutional delivery system exist primarily due to funding limitations that are outside the control of the State. CDBG, HOME, HTF, and ESG resources are not adequate to meet the needs of Montanans with less than low to moderate incomes, particularly </w:t>
      </w:r>
      <w:r w:rsidR="7880BD80">
        <w:t xml:space="preserve">those who are </w:t>
      </w:r>
      <w:r>
        <w:t xml:space="preserve">homeless, disabled, elderly, </w:t>
      </w:r>
      <w:r w:rsidR="0AAC5074">
        <w:t xml:space="preserve">or </w:t>
      </w:r>
      <w:r>
        <w:t>other</w:t>
      </w:r>
      <w:r w:rsidR="69011BE5">
        <w:t>wise</w:t>
      </w:r>
      <w:r>
        <w:t xml:space="preserve"> </w:t>
      </w:r>
      <w:r w:rsidR="009D5D56">
        <w:t>disadvantaged.</w:t>
      </w:r>
      <w:r>
        <w:t xml:space="preserve"> However, the ability to effectively relay information regarding existing grant opportunities and technical assistance from the State to eligible entities continues to be one of Montana’s greatest challenges. There are areas of opportunity for increased collaboration vertically and horizontally, as well as across and between agencies, organizations, and the private sector to ensure that services are delivered to the greatest number of eligible entities and individuals in the state. During Plan Year </w:t>
      </w:r>
      <w:r w:rsidR="0018112A">
        <w:t>5</w:t>
      </w:r>
      <w:r>
        <w:t xml:space="preserve">, the State will actively engage state agencies and the public and private sectors in broad discussions and educational opportunities regarding the economic, social, environmental, and health benefits of creating walkable, resilient communities with increased opportunities and access to affordable housing, community services, existing public infrastructure efficiencies, and jobs. </w:t>
      </w:r>
    </w:p>
    <w:p w14:paraId="622CE78A" w14:textId="77777777" w:rsidR="007E5BF0" w:rsidRDefault="007E5BF0" w:rsidP="007E5BF0"/>
    <w:p w14:paraId="6FBB8A59" w14:textId="77777777" w:rsidR="007E5BF0" w:rsidRDefault="007E5BF0" w:rsidP="007E5BF0">
      <w:pPr>
        <w:pStyle w:val="Heading3"/>
      </w:pPr>
      <w:r>
        <w:lastRenderedPageBreak/>
        <w:t>Actions planned to enhance coordination between public and private housing and social service agencies</w:t>
      </w:r>
    </w:p>
    <w:p w14:paraId="08B763C8" w14:textId="77777777" w:rsidR="007E5BF0" w:rsidRDefault="007E5BF0" w:rsidP="007E5BF0">
      <w:r>
        <w:t>The State, through its CDBG, HOME, HTF, and ESG programs, will continue to coordinate with public and private partners to discuss current projects and methods to better coordinate efforts throughout the state, including the following initiatives:</w:t>
      </w:r>
    </w:p>
    <w:p w14:paraId="7E7BB569" w14:textId="77777777" w:rsidR="007E5BF0" w:rsidRDefault="007E5BF0" w:rsidP="007E5BF0">
      <w:pPr>
        <w:pStyle w:val="ListParagraph"/>
        <w:numPr>
          <w:ilvl w:val="0"/>
          <w:numId w:val="10"/>
        </w:numPr>
      </w:pPr>
      <w:r>
        <w:t xml:space="preserve">DPHHS is represented on various social service state advisory groups to ensure housing services are coordinated with social services for needy populations in Montana. </w:t>
      </w:r>
    </w:p>
    <w:p w14:paraId="6AEB8177" w14:textId="77777777" w:rsidR="007E5BF0" w:rsidRDefault="007E5BF0" w:rsidP="007E5BF0">
      <w:pPr>
        <w:pStyle w:val="ListParagraph"/>
        <w:numPr>
          <w:ilvl w:val="0"/>
          <w:numId w:val="10"/>
        </w:numPr>
      </w:pPr>
      <w:r>
        <w:t xml:space="preserve">DPHHS works proactively with its </w:t>
      </w:r>
      <w:proofErr w:type="spellStart"/>
      <w:r>
        <w:t>MTCoC</w:t>
      </w:r>
      <w:proofErr w:type="spellEnd"/>
      <w:r>
        <w:t xml:space="preserve"> partners to ensure that efficient and effective coordination of services exists between affordable housing and social services. </w:t>
      </w:r>
    </w:p>
    <w:p w14:paraId="17D22C8F" w14:textId="4DFFD08E" w:rsidR="007E5BF0" w:rsidRDefault="007E5BF0">
      <w:r>
        <w:t>Commerce participat</w:t>
      </w:r>
      <w:r w:rsidR="1E9E89D9">
        <w:t>es</w:t>
      </w:r>
      <w:r>
        <w:t xml:space="preserve"> in the </w:t>
      </w:r>
      <w:proofErr w:type="spellStart"/>
      <w:r>
        <w:t>MTCoC</w:t>
      </w:r>
      <w:proofErr w:type="spellEnd"/>
      <w:r w:rsidR="579F3FA3">
        <w:t xml:space="preserve"> and </w:t>
      </w:r>
      <w:r w:rsidR="297787EF">
        <w:t>collaborates with DPHHS on efforts to provide tenancy support services for HEART Medicaid waiver recipients.</w:t>
      </w:r>
    </w:p>
    <w:p w14:paraId="247AF9C1" w14:textId="77777777" w:rsidR="00F07B70" w:rsidRDefault="00F07B70"/>
    <w:p w14:paraId="75042524" w14:textId="77777777" w:rsidR="007E5BF0" w:rsidRDefault="007E5BF0" w:rsidP="007E5BF0">
      <w:pPr>
        <w:pStyle w:val="Heading3"/>
      </w:pPr>
      <w:r>
        <w:t>Discussion</w:t>
      </w:r>
    </w:p>
    <w:p w14:paraId="3B11C2F3" w14:textId="69F0B4F2" w:rsidR="007E5BF0" w:rsidRDefault="007E5BF0" w:rsidP="007E5BF0">
      <w:r>
        <w:t xml:space="preserve">The State of Montana is committed to addressing critical needs, and to this end, during Plan Year </w:t>
      </w:r>
      <w:r w:rsidR="0018112A">
        <w:t>5</w:t>
      </w:r>
      <w:r>
        <w:t>, will undertake the actions outlined above.</w:t>
      </w:r>
    </w:p>
    <w:p w14:paraId="06CD1B7D" w14:textId="2ADA9C00" w:rsidR="007E5BF0" w:rsidRDefault="007E5BF0" w:rsidP="007E5BF0"/>
    <w:p w14:paraId="05A44096" w14:textId="77777777" w:rsidR="007E5BF0" w:rsidRDefault="007E5BF0" w:rsidP="007E5BF0"/>
    <w:p w14:paraId="094E7A7C" w14:textId="77777777" w:rsidR="007E5BF0" w:rsidRPr="00024CEB" w:rsidRDefault="007E5BF0" w:rsidP="007E5BF0">
      <w:pPr>
        <w:pStyle w:val="Heading4"/>
        <w:rPr>
          <w:caps/>
        </w:rPr>
      </w:pPr>
      <w:r w:rsidRPr="331F13D3">
        <w:rPr>
          <w:caps/>
        </w:rPr>
        <w:t>Anti-Displacement and Relocation Assistance Plan</w:t>
      </w:r>
    </w:p>
    <w:p w14:paraId="509B8928" w14:textId="77777777" w:rsidR="00F07B70" w:rsidRDefault="272C4745" w:rsidP="007E5BF0">
      <w:r>
        <w:t>To further the goals and objectives of the Montana CDBG, HOME, and HTF programs, the Anti-displacement and Relocation Assistance Plan is included with this AAP</w:t>
      </w:r>
      <w:r w:rsidR="00F07B70">
        <w:t xml:space="preserve">. </w:t>
      </w:r>
    </w:p>
    <w:p w14:paraId="5F901055" w14:textId="68A0EA2C" w:rsidR="007E5BF0" w:rsidRDefault="007E5BF0" w:rsidP="007E5BF0"/>
    <w:p w14:paraId="34CF734F" w14:textId="77777777" w:rsidR="007E5BF0" w:rsidRDefault="007E5BF0" w:rsidP="007E5BF0">
      <w:pPr>
        <w:pStyle w:val="ListParagraph"/>
        <w:numPr>
          <w:ilvl w:val="0"/>
          <w:numId w:val="11"/>
        </w:numPr>
      </w:pPr>
      <w:r>
        <w:t xml:space="preserve">The Montana Department of Commerce (Commerce) encourages applicants to design their projects to temporarily relocate or displace as few persons as necessary to meet the goals and objectives of the State CDBG, HTF, and HOME programs and critical local community development needs. </w:t>
      </w:r>
    </w:p>
    <w:p w14:paraId="15875CCB" w14:textId="77777777" w:rsidR="007E5BF0" w:rsidRDefault="007E5BF0" w:rsidP="007E5BF0">
      <w:pPr>
        <w:pStyle w:val="ListParagraph"/>
      </w:pPr>
    </w:p>
    <w:p w14:paraId="04FF88FA" w14:textId="77777777" w:rsidR="007E5BF0" w:rsidRDefault="007E5BF0" w:rsidP="007E5BF0">
      <w:pPr>
        <w:pStyle w:val="ListParagraph"/>
        <w:numPr>
          <w:ilvl w:val="0"/>
          <w:numId w:val="11"/>
        </w:numPr>
      </w:pPr>
      <w:r>
        <w:t xml:space="preserve">Commerce will carefully consider any proposed relocation and/or displacement activities during application ranking. </w:t>
      </w:r>
    </w:p>
    <w:p w14:paraId="5A369F42" w14:textId="77777777" w:rsidR="007E5BF0" w:rsidRDefault="007E5BF0" w:rsidP="007E5BF0">
      <w:pPr>
        <w:pStyle w:val="ListParagraph"/>
      </w:pPr>
    </w:p>
    <w:p w14:paraId="7C8888E8" w14:textId="104F7631" w:rsidR="007E5BF0" w:rsidRDefault="007E5BF0" w:rsidP="007E5BF0">
      <w:pPr>
        <w:pStyle w:val="ListParagraph"/>
        <w:numPr>
          <w:ilvl w:val="0"/>
          <w:numId w:val="11"/>
        </w:numPr>
      </w:pPr>
      <w:r>
        <w:t>When a proposed CDBG-, HTF-, or HOME-funded project could result in direct or indirect involuntary displacement of community residents (including businesses), the applicant must prepare a plan which describes the actions to be taken to assist such persons to remain in their neighborhoods as required by 24 CFR 570.606</w:t>
      </w:r>
      <w:r w:rsidR="00F07B70">
        <w:t>, 24 CFR 93.352 and 24 CFR 82.353 for CDBG, HTF, and HOME, respectively</w:t>
      </w:r>
      <w:r>
        <w:t xml:space="preserve">. To provide equitable and reasonable assistance to those persons who will be involuntarily and permanently displaced, the plan must include relocation assistance as required in 24 CFR 42.350. The adequacy of any displacement mitigation plan will be assessed by the Commerce </w:t>
      </w:r>
      <w:proofErr w:type="gramStart"/>
      <w:r>
        <w:t>on the basis of</w:t>
      </w:r>
      <w:proofErr w:type="gramEnd"/>
      <w:r>
        <w:t xml:space="preserve">: </w:t>
      </w:r>
    </w:p>
    <w:p w14:paraId="1CF915A2" w14:textId="48DF8E1B" w:rsidR="007E5BF0" w:rsidRDefault="007E5BF0" w:rsidP="007E5BF0">
      <w:r>
        <w:tab/>
      </w:r>
      <w:r>
        <w:tab/>
        <w:t xml:space="preserve">- Its responsiveness to temporarily relocated and displaced </w:t>
      </w:r>
      <w:proofErr w:type="gramStart"/>
      <w:r>
        <w:t>persons;</w:t>
      </w:r>
      <w:proofErr w:type="gramEnd"/>
      <w:r>
        <w:t xml:space="preserve"> </w:t>
      </w:r>
    </w:p>
    <w:p w14:paraId="1ABFAA51" w14:textId="435B6B63" w:rsidR="007E5BF0" w:rsidRDefault="007E5BF0" w:rsidP="007E5BF0">
      <w:r>
        <w:tab/>
      </w:r>
      <w:r>
        <w:tab/>
        <w:t xml:space="preserve">- The timeliness of the remedy; and </w:t>
      </w:r>
    </w:p>
    <w:p w14:paraId="45F59D52" w14:textId="25339D0B" w:rsidR="007E5BF0" w:rsidRDefault="007E5BF0" w:rsidP="007E5BF0">
      <w:r>
        <w:tab/>
      </w:r>
      <w:r>
        <w:tab/>
        <w:t xml:space="preserve">- The reasonableness of projected costs, including safeguards that will be </w:t>
      </w:r>
      <w:r>
        <w:tab/>
      </w:r>
      <w:r>
        <w:tab/>
      </w:r>
      <w:r>
        <w:tab/>
        <w:t xml:space="preserve"> established to assure prudent use of scarce public resources. </w:t>
      </w:r>
    </w:p>
    <w:p w14:paraId="7AA13FF5" w14:textId="77777777" w:rsidR="007E5BF0" w:rsidRDefault="007E5BF0" w:rsidP="007E5BF0"/>
    <w:p w14:paraId="171F8CCC" w14:textId="44E019F0" w:rsidR="007E5BF0" w:rsidRDefault="15D4CFDC" w:rsidP="007E5BF0">
      <w:pPr>
        <w:pStyle w:val="ListParagraph"/>
        <w:numPr>
          <w:ilvl w:val="0"/>
          <w:numId w:val="11"/>
        </w:numPr>
      </w:pPr>
      <w:r>
        <w:t xml:space="preserve">Grant recipients must replace on a one-for-one basis all occupied and vacant habitable </w:t>
      </w:r>
      <w:r w:rsidR="518B4467">
        <w:t>LMI</w:t>
      </w:r>
      <w:r>
        <w:t xml:space="preserve"> dwelling units demolished or converted to a use other than as </w:t>
      </w:r>
      <w:r w:rsidR="281F042D">
        <w:t>LMI</w:t>
      </w:r>
      <w:r>
        <w:t xml:space="preserve"> housing. The one-for-one replacement requirement will not apply if the HUD finds there is an adequate supply of available, vacant </w:t>
      </w:r>
      <w:r w:rsidR="3803CDDD">
        <w:t>LMI</w:t>
      </w:r>
      <w:r>
        <w:t xml:space="preserve"> dwelling units in standard condition in the area. </w:t>
      </w:r>
    </w:p>
    <w:p w14:paraId="30692C14" w14:textId="77777777" w:rsidR="007E5BF0" w:rsidRDefault="007E5BF0" w:rsidP="007E5BF0">
      <w:pPr>
        <w:pStyle w:val="ListParagraph"/>
      </w:pPr>
    </w:p>
    <w:p w14:paraId="4DCCB70F" w14:textId="77777777" w:rsidR="007E5BF0" w:rsidRDefault="007E5BF0" w:rsidP="007E5BF0">
      <w:pPr>
        <w:pStyle w:val="ListParagraph"/>
        <w:numPr>
          <w:ilvl w:val="0"/>
          <w:numId w:val="11"/>
        </w:numPr>
      </w:pPr>
      <w:r>
        <w:lastRenderedPageBreak/>
        <w:t xml:space="preserve">Commerce will require CDBG, HTF, and HOME recipients to provide benefits to any person involuntarily and permanently displaced </w:t>
      </w:r>
      <w:proofErr w:type="gramStart"/>
      <w:r>
        <w:t>as a result of</w:t>
      </w:r>
      <w:proofErr w:type="gramEnd"/>
      <w:r>
        <w:t xml:space="preserve"> CDBG-, HTF-, and/or HOME-funded activities in accordance with the Uniform Relocation Assistance and Real Property Act. </w:t>
      </w:r>
    </w:p>
    <w:p w14:paraId="41979257" w14:textId="77777777" w:rsidR="007E5BF0" w:rsidRDefault="007E5BF0" w:rsidP="007E5BF0">
      <w:pPr>
        <w:pStyle w:val="ListParagraph"/>
      </w:pPr>
    </w:p>
    <w:p w14:paraId="6ED5EFEA" w14:textId="77777777" w:rsidR="007E5BF0" w:rsidRDefault="007E5BF0" w:rsidP="007E5BF0">
      <w:pPr>
        <w:pStyle w:val="ListParagraph"/>
        <w:numPr>
          <w:ilvl w:val="0"/>
          <w:numId w:val="11"/>
        </w:numPr>
      </w:pPr>
      <w:r>
        <w:t>Commerce will require all CDBG, HTF, and HOME recipients to certify that they will comply with both this and their own residential anti-displacement and relocation assistance plan.</w:t>
      </w:r>
    </w:p>
    <w:p w14:paraId="2061DBD2" w14:textId="77777777" w:rsidR="007E5BF0" w:rsidRPr="00177231" w:rsidRDefault="007E5BF0" w:rsidP="007E5BF0"/>
    <w:p w14:paraId="1BAB2564" w14:textId="77777777" w:rsidR="007E5BF0" w:rsidRDefault="007E5BF0" w:rsidP="003747A4">
      <w:pPr>
        <w:pStyle w:val="Heading2"/>
      </w:pPr>
      <w:bookmarkStart w:id="103" w:name="_Toc70505053"/>
      <w:bookmarkStart w:id="104" w:name="_Toc72413504"/>
      <w:r>
        <w:t>AP-90 Program Specific Requirements – 91.320(k</w:t>
      </w:r>
      <w:proofErr w:type="gramStart"/>
      <w:r>
        <w:t>)(</w:t>
      </w:r>
      <w:proofErr w:type="gramEnd"/>
      <w:r>
        <w:t>1,2,3)</w:t>
      </w:r>
      <w:bookmarkEnd w:id="103"/>
      <w:bookmarkEnd w:id="104"/>
    </w:p>
    <w:p w14:paraId="0FC633D7" w14:textId="77777777" w:rsidR="007E5BF0" w:rsidRDefault="007E5BF0" w:rsidP="007E5BF0">
      <w:pPr>
        <w:pStyle w:val="Heading3"/>
      </w:pPr>
      <w:r>
        <w:t xml:space="preserve">Introduction </w:t>
      </w:r>
    </w:p>
    <w:p w14:paraId="41BF6FA9" w14:textId="77777777" w:rsidR="007E5BF0" w:rsidRDefault="007E5BF0" w:rsidP="007E5BF0">
      <w:r>
        <w:t>This section of the AAP outlines specific requirements of Montana’s CDBG, HOME, ESG, and HTF programs.</w:t>
      </w:r>
    </w:p>
    <w:p w14:paraId="682B74D8" w14:textId="77777777" w:rsidR="007E5BF0" w:rsidRPr="007E10F4" w:rsidRDefault="007E5BF0" w:rsidP="007E5BF0"/>
    <w:p w14:paraId="662E6320" w14:textId="77777777" w:rsidR="007E5BF0" w:rsidRDefault="007E5BF0" w:rsidP="007E5BF0">
      <w:pPr>
        <w:pStyle w:val="Heading3"/>
      </w:pPr>
      <w:r w:rsidRPr="00CE7D1E">
        <w:t>Community</w:t>
      </w:r>
      <w:r>
        <w:t xml:space="preserve"> Development Block Grant Program (CDBG)</w:t>
      </w:r>
    </w:p>
    <w:p w14:paraId="1C9DA89B" w14:textId="77777777" w:rsidR="007E5BF0" w:rsidRDefault="007E5BF0" w:rsidP="007E5BF0">
      <w:pPr>
        <w:pStyle w:val="Heading3"/>
      </w:pPr>
      <w:r>
        <w:t>Reference 24 CFR 91.320(k)(1)</w:t>
      </w:r>
    </w:p>
    <w:p w14:paraId="6759FDF3" w14:textId="77777777" w:rsidR="007E5BF0" w:rsidRDefault="007E5BF0" w:rsidP="007E5BF0">
      <w:pPr>
        <w:pStyle w:val="InstructionalTextSubheading"/>
      </w:pPr>
    </w:p>
    <w:p w14:paraId="02704399" w14:textId="77777777" w:rsidR="007E5BF0" w:rsidRPr="00C001ED" w:rsidRDefault="007E5BF0" w:rsidP="007E5BF0">
      <w:pPr>
        <w:pStyle w:val="InstructionalTextSubheading"/>
      </w:pPr>
      <w:r w:rsidRPr="00C001ED">
        <w:t>Projects planned with all CDBG funds expected to be available during the year are identified in the Projects Table. The following identifies program income that is available for use that is included in projects to be carried out.</w:t>
      </w:r>
    </w:p>
    <w:p w14:paraId="27DE02C6" w14:textId="77777777" w:rsidR="007E5BF0" w:rsidRDefault="007E5BF0" w:rsidP="007E5BF0">
      <w:pPr>
        <w:widowControl w:val="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1705"/>
      </w:tblGrid>
      <w:tr w:rsidR="007E5BF0" w14:paraId="0ABF1130" w14:textId="77777777" w:rsidTr="0044257C">
        <w:tc>
          <w:tcPr>
            <w:tcW w:w="7645" w:type="dxa"/>
          </w:tcPr>
          <w:p w14:paraId="0B1D36A2" w14:textId="77777777" w:rsidR="007E5BF0" w:rsidRPr="004F5F37" w:rsidRDefault="007E5BF0" w:rsidP="0044257C">
            <w:pPr>
              <w:widowControl w:val="0"/>
              <w:rPr>
                <w:rFonts w:cs="Arial"/>
              </w:rPr>
            </w:pPr>
            <w:r w:rsidRPr="004F5F37">
              <w:rPr>
                <w:rFonts w:cs="Arial"/>
              </w:rPr>
              <w:t>1. The total amount of program income that will have been received before the start of the next program year and that has not yet been reprogrammed</w:t>
            </w:r>
          </w:p>
        </w:tc>
        <w:tc>
          <w:tcPr>
            <w:tcW w:w="1705" w:type="dxa"/>
            <w:vAlign w:val="center"/>
          </w:tcPr>
          <w:p w14:paraId="7AC5A104" w14:textId="77777777" w:rsidR="007E5BF0" w:rsidRPr="00C05E10" w:rsidRDefault="007E5BF0" w:rsidP="0044257C">
            <w:pPr>
              <w:widowControl w:val="0"/>
              <w:jc w:val="right"/>
              <w:rPr>
                <w:rFonts w:cs="Arial"/>
              </w:rPr>
            </w:pPr>
            <w:r w:rsidRPr="00C05E10">
              <w:rPr>
                <w:rFonts w:cs="Arial"/>
              </w:rPr>
              <w:t>$0</w:t>
            </w:r>
          </w:p>
        </w:tc>
      </w:tr>
      <w:tr w:rsidR="007E5BF0" w14:paraId="4DDDE1DC" w14:textId="77777777" w:rsidTr="0044257C">
        <w:tc>
          <w:tcPr>
            <w:tcW w:w="7645" w:type="dxa"/>
          </w:tcPr>
          <w:p w14:paraId="5F03264B" w14:textId="77777777" w:rsidR="007E5BF0" w:rsidRPr="004F5F37" w:rsidRDefault="007E5BF0" w:rsidP="0044257C">
            <w:pPr>
              <w:widowControl w:val="0"/>
              <w:rPr>
                <w:rFonts w:cs="Arial"/>
              </w:rPr>
            </w:pPr>
            <w:r w:rsidRPr="004F5F37">
              <w:rPr>
                <w:rFonts w:cs="Arial"/>
              </w:rPr>
              <w:t>2. The amount of proceeds from section 108 loan guarantees that will be used during the year to address the priority needs and specific objectives identified in the grantee</w:t>
            </w:r>
            <w:r>
              <w:rPr>
                <w:rFonts w:cs="Arial"/>
              </w:rPr>
              <w:t>’</w:t>
            </w:r>
            <w:r w:rsidRPr="004F5F37">
              <w:rPr>
                <w:rFonts w:cs="Arial"/>
              </w:rPr>
              <w:t>s strategic plan</w:t>
            </w:r>
          </w:p>
        </w:tc>
        <w:tc>
          <w:tcPr>
            <w:tcW w:w="1705" w:type="dxa"/>
            <w:vAlign w:val="center"/>
          </w:tcPr>
          <w:p w14:paraId="16E0EC81" w14:textId="77777777" w:rsidR="007E5BF0" w:rsidRPr="00C05E10" w:rsidRDefault="007E5BF0" w:rsidP="0044257C">
            <w:pPr>
              <w:widowControl w:val="0"/>
              <w:jc w:val="right"/>
              <w:rPr>
                <w:rFonts w:cs="Arial"/>
              </w:rPr>
            </w:pPr>
            <w:r w:rsidRPr="00C05E10">
              <w:rPr>
                <w:rFonts w:cs="Arial"/>
              </w:rPr>
              <w:t>$0</w:t>
            </w:r>
          </w:p>
        </w:tc>
      </w:tr>
      <w:tr w:rsidR="007E5BF0" w14:paraId="180E7931" w14:textId="77777777" w:rsidTr="0044257C">
        <w:tc>
          <w:tcPr>
            <w:tcW w:w="7645" w:type="dxa"/>
          </w:tcPr>
          <w:p w14:paraId="542E9C52" w14:textId="77777777" w:rsidR="007E5BF0" w:rsidRPr="004F5F37" w:rsidRDefault="007E5BF0" w:rsidP="0044257C">
            <w:pPr>
              <w:widowControl w:val="0"/>
              <w:rPr>
                <w:rFonts w:cs="Arial"/>
              </w:rPr>
            </w:pPr>
            <w:r w:rsidRPr="004F5F37">
              <w:rPr>
                <w:rFonts w:cs="Arial"/>
              </w:rPr>
              <w:t>3. The amount of surplus funds from urban renewal settlements</w:t>
            </w:r>
          </w:p>
        </w:tc>
        <w:tc>
          <w:tcPr>
            <w:tcW w:w="1705" w:type="dxa"/>
            <w:vAlign w:val="center"/>
          </w:tcPr>
          <w:p w14:paraId="1B2FE91B" w14:textId="77777777" w:rsidR="007E5BF0" w:rsidRPr="00C05E10" w:rsidRDefault="007E5BF0" w:rsidP="0044257C">
            <w:pPr>
              <w:widowControl w:val="0"/>
              <w:jc w:val="right"/>
              <w:rPr>
                <w:rFonts w:cs="Arial"/>
              </w:rPr>
            </w:pPr>
            <w:r w:rsidRPr="00C05E10">
              <w:rPr>
                <w:rFonts w:cs="Arial"/>
              </w:rPr>
              <w:t>$0</w:t>
            </w:r>
          </w:p>
        </w:tc>
      </w:tr>
      <w:tr w:rsidR="007E5BF0" w14:paraId="3924A199" w14:textId="77777777" w:rsidTr="0044257C">
        <w:tc>
          <w:tcPr>
            <w:tcW w:w="7645" w:type="dxa"/>
          </w:tcPr>
          <w:p w14:paraId="7E4C121B" w14:textId="77777777" w:rsidR="007E5BF0" w:rsidRPr="004F5F37" w:rsidRDefault="007E5BF0" w:rsidP="0044257C">
            <w:pPr>
              <w:widowControl w:val="0"/>
              <w:rPr>
                <w:rFonts w:cs="Arial"/>
              </w:rPr>
            </w:pPr>
            <w:r w:rsidRPr="004F5F37">
              <w:rPr>
                <w:rFonts w:cs="Arial"/>
              </w:rPr>
              <w:t>4. The amount of any grant funds returned to the line of credit for which the planned use has not been included in a prior statement or plan</w:t>
            </w:r>
          </w:p>
        </w:tc>
        <w:tc>
          <w:tcPr>
            <w:tcW w:w="1705" w:type="dxa"/>
            <w:vAlign w:val="center"/>
          </w:tcPr>
          <w:p w14:paraId="475F96AF" w14:textId="77777777" w:rsidR="007E5BF0" w:rsidRPr="00C05E10" w:rsidRDefault="007E5BF0" w:rsidP="0044257C">
            <w:pPr>
              <w:widowControl w:val="0"/>
              <w:jc w:val="right"/>
              <w:rPr>
                <w:rFonts w:cs="Arial"/>
              </w:rPr>
            </w:pPr>
            <w:r w:rsidRPr="00C05E10">
              <w:rPr>
                <w:rFonts w:cs="Arial"/>
              </w:rPr>
              <w:t>$0</w:t>
            </w:r>
          </w:p>
        </w:tc>
      </w:tr>
      <w:tr w:rsidR="007E5BF0" w14:paraId="20408E78" w14:textId="77777777" w:rsidTr="0044257C">
        <w:tc>
          <w:tcPr>
            <w:tcW w:w="7645" w:type="dxa"/>
          </w:tcPr>
          <w:p w14:paraId="4D58453F" w14:textId="77777777" w:rsidR="007E5BF0" w:rsidRPr="004F5F37" w:rsidRDefault="007E5BF0" w:rsidP="0044257C">
            <w:pPr>
              <w:widowControl w:val="0"/>
              <w:rPr>
                <w:rFonts w:cs="Arial"/>
              </w:rPr>
            </w:pPr>
            <w:r w:rsidRPr="004F5F37">
              <w:rPr>
                <w:rFonts w:cs="Arial"/>
              </w:rPr>
              <w:t>5. The amount of income from float-funded activities</w:t>
            </w:r>
          </w:p>
        </w:tc>
        <w:tc>
          <w:tcPr>
            <w:tcW w:w="1705" w:type="dxa"/>
            <w:vAlign w:val="center"/>
          </w:tcPr>
          <w:p w14:paraId="4E65537C" w14:textId="77777777" w:rsidR="007E5BF0" w:rsidRPr="00C05E10" w:rsidRDefault="007E5BF0" w:rsidP="0044257C">
            <w:pPr>
              <w:widowControl w:val="0"/>
              <w:jc w:val="right"/>
              <w:rPr>
                <w:rFonts w:cs="Arial"/>
              </w:rPr>
            </w:pPr>
            <w:r w:rsidRPr="00C05E10">
              <w:rPr>
                <w:rFonts w:cs="Arial"/>
              </w:rPr>
              <w:t>$0</w:t>
            </w:r>
          </w:p>
        </w:tc>
      </w:tr>
      <w:tr w:rsidR="007E5BF0" w14:paraId="541F7CF5" w14:textId="77777777" w:rsidTr="0044257C">
        <w:tc>
          <w:tcPr>
            <w:tcW w:w="7645" w:type="dxa"/>
          </w:tcPr>
          <w:p w14:paraId="67A663F0" w14:textId="77777777" w:rsidR="007E5BF0" w:rsidRPr="004F5F37" w:rsidRDefault="007E5BF0" w:rsidP="0044257C">
            <w:pPr>
              <w:widowControl w:val="0"/>
              <w:jc w:val="right"/>
              <w:rPr>
                <w:rFonts w:cs="Arial"/>
              </w:rPr>
            </w:pPr>
            <w:r w:rsidRPr="004F5F37">
              <w:rPr>
                <w:rFonts w:cs="Arial"/>
              </w:rPr>
              <w:t>Total Program Income:</w:t>
            </w:r>
          </w:p>
        </w:tc>
        <w:tc>
          <w:tcPr>
            <w:tcW w:w="1705" w:type="dxa"/>
            <w:vAlign w:val="center"/>
          </w:tcPr>
          <w:p w14:paraId="7554DFED" w14:textId="77777777" w:rsidR="007E5BF0" w:rsidRPr="00C05E10" w:rsidRDefault="007E5BF0" w:rsidP="0044257C">
            <w:pPr>
              <w:widowControl w:val="0"/>
              <w:jc w:val="right"/>
              <w:rPr>
                <w:rFonts w:cs="Arial"/>
              </w:rPr>
            </w:pPr>
            <w:r w:rsidRPr="00C05E10">
              <w:rPr>
                <w:rFonts w:cs="Arial"/>
              </w:rPr>
              <w:t>$0</w:t>
            </w:r>
          </w:p>
        </w:tc>
      </w:tr>
    </w:tbl>
    <w:p w14:paraId="5709B891" w14:textId="77777777" w:rsidR="007E5BF0" w:rsidRDefault="007E5BF0" w:rsidP="007E5BF0">
      <w:pPr>
        <w:keepNext/>
        <w:widowControl w:val="0"/>
        <w:rPr>
          <w:rFonts w:cs="Arial"/>
        </w:rPr>
      </w:pPr>
    </w:p>
    <w:p w14:paraId="2AFA6C4B" w14:textId="77777777" w:rsidR="007E5BF0" w:rsidRDefault="007E5BF0" w:rsidP="007E5BF0">
      <w:pPr>
        <w:pStyle w:val="Heading4"/>
      </w:pPr>
      <w:r>
        <w:t xml:space="preserve">Other CDBG </w:t>
      </w:r>
      <w:r w:rsidRPr="000B36BA">
        <w:t>Requirements</w:t>
      </w:r>
      <w:r>
        <w:rPr>
          <w:i/>
        </w:rPr>
        <w:t xml:space="preserve"> </w:t>
      </w:r>
    </w:p>
    <w:p w14:paraId="64193603" w14:textId="77777777" w:rsidR="007E5BF0" w:rsidRDefault="007E5BF0" w:rsidP="007E5B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1705"/>
      </w:tblGrid>
      <w:tr w:rsidR="007E5BF0" w:rsidRPr="004F5F37" w14:paraId="170D7C5C" w14:textId="77777777" w:rsidTr="30C7FF53">
        <w:tc>
          <w:tcPr>
            <w:tcW w:w="7645" w:type="dxa"/>
          </w:tcPr>
          <w:p w14:paraId="3639F6D8" w14:textId="77777777" w:rsidR="007E5BF0" w:rsidRPr="004F5F37" w:rsidRDefault="007E5BF0" w:rsidP="0044257C">
            <w:pPr>
              <w:widowControl w:val="0"/>
              <w:rPr>
                <w:rFonts w:cs="Arial"/>
              </w:rPr>
            </w:pPr>
            <w:r w:rsidRPr="000B36BA">
              <w:rPr>
                <w:rFonts w:cs="Arial"/>
              </w:rPr>
              <w:t>1. The amount of urgent need activities</w:t>
            </w:r>
          </w:p>
        </w:tc>
        <w:tc>
          <w:tcPr>
            <w:tcW w:w="1705" w:type="dxa"/>
            <w:vAlign w:val="center"/>
          </w:tcPr>
          <w:p w14:paraId="68BF8991" w14:textId="61358EDF" w:rsidR="007E5BF0" w:rsidRPr="00177231" w:rsidRDefault="007E5BF0" w:rsidP="0044257C">
            <w:pPr>
              <w:widowControl w:val="0"/>
              <w:jc w:val="right"/>
              <w:rPr>
                <w:rFonts w:cs="Arial"/>
              </w:rPr>
            </w:pPr>
            <w:r w:rsidRPr="30C7FF53">
              <w:rPr>
                <w:rFonts w:cs="Arial"/>
              </w:rPr>
              <w:t>0</w:t>
            </w:r>
          </w:p>
        </w:tc>
      </w:tr>
      <w:tr w:rsidR="007E5BF0" w:rsidRPr="004F5F37" w14:paraId="2DEB71DD" w14:textId="77777777" w:rsidTr="30C7FF53">
        <w:tc>
          <w:tcPr>
            <w:tcW w:w="7645" w:type="dxa"/>
          </w:tcPr>
          <w:p w14:paraId="7B68927C" w14:textId="77777777" w:rsidR="007E5BF0" w:rsidRPr="000B36BA" w:rsidRDefault="007E5BF0" w:rsidP="0044257C">
            <w:pPr>
              <w:widowControl w:val="0"/>
              <w:rPr>
                <w:rFonts w:cs="Arial"/>
              </w:rPr>
            </w:pPr>
            <w:r w:rsidRPr="000B36BA">
              <w:rPr>
                <w:rFonts w:cs="Arial"/>
              </w:rPr>
              <w:t xml:space="preserve">2. The estimated percentage of CDBG funds that will be used for activities </w:t>
            </w:r>
          </w:p>
          <w:p w14:paraId="75C8A0AB" w14:textId="77777777" w:rsidR="007E5BF0" w:rsidRPr="004F5F37" w:rsidRDefault="007E5BF0" w:rsidP="0044257C">
            <w:pPr>
              <w:widowControl w:val="0"/>
              <w:rPr>
                <w:rFonts w:cs="Arial"/>
              </w:rPr>
            </w:pPr>
            <w:r w:rsidRPr="000B36BA">
              <w:rPr>
                <w:rFonts w:cs="Arial"/>
              </w:rPr>
              <w:t>that benefit persons of low and moderate income</w:t>
            </w:r>
          </w:p>
        </w:tc>
        <w:tc>
          <w:tcPr>
            <w:tcW w:w="1705" w:type="dxa"/>
            <w:vAlign w:val="center"/>
          </w:tcPr>
          <w:p w14:paraId="2CC8C99E" w14:textId="77777777" w:rsidR="007E5BF0" w:rsidRPr="00177231" w:rsidRDefault="007E5BF0" w:rsidP="0044257C">
            <w:pPr>
              <w:widowControl w:val="0"/>
              <w:jc w:val="right"/>
              <w:rPr>
                <w:rFonts w:cs="Arial"/>
              </w:rPr>
            </w:pPr>
            <w:r w:rsidRPr="00177231">
              <w:rPr>
                <w:rFonts w:cs="Arial"/>
              </w:rPr>
              <w:t>Minimum 70%</w:t>
            </w:r>
          </w:p>
        </w:tc>
      </w:tr>
    </w:tbl>
    <w:p w14:paraId="3C7BFF5B" w14:textId="77777777" w:rsidR="007E5BF0" w:rsidRDefault="007E5BF0" w:rsidP="007E5BF0">
      <w:pPr>
        <w:rPr>
          <w:rFonts w:cs="Arial"/>
        </w:rPr>
      </w:pPr>
    </w:p>
    <w:p w14:paraId="7C001840" w14:textId="77777777" w:rsidR="007E5BF0" w:rsidRDefault="007E5BF0" w:rsidP="007E5BF0">
      <w:pPr>
        <w:pStyle w:val="InstructionalTextSubheading"/>
      </w:pPr>
      <w:r w:rsidRPr="000B36BA">
        <w:t>Overall Benefit - A consecutive period of one, two or three years may be used to determine that a minimum overall benefit of 70% of CDBG funds is used to benefit persons of low and moderate income. Specify the years covered that include this Annual Action Plan.</w:t>
      </w:r>
    </w:p>
    <w:p w14:paraId="2AAF596B" w14:textId="77777777" w:rsidR="007E5BF0" w:rsidRDefault="007E5BF0" w:rsidP="007E5BF0"/>
    <w:p w14:paraId="2406359D" w14:textId="644FF7B5" w:rsidR="007E5BF0" w:rsidRDefault="780AC478" w:rsidP="007E5BF0">
      <w:r>
        <w:t>3</w:t>
      </w:r>
      <w:r w:rsidR="66AE8A10">
        <w:t xml:space="preserve">-year period: 70% </w:t>
      </w:r>
    </w:p>
    <w:p w14:paraId="1D43966A" w14:textId="1D2EBE3A" w:rsidR="007E5BF0" w:rsidRDefault="66AE8A10" w:rsidP="007E5BF0">
      <w:r>
        <w:t xml:space="preserve"> </w:t>
      </w:r>
      <w:r w:rsidR="118D7C4A">
        <w:t xml:space="preserve">2022, </w:t>
      </w:r>
      <w:r w:rsidR="428D565E">
        <w:t xml:space="preserve">2023, and 2024 </w:t>
      </w:r>
      <w:r>
        <w:t>are the years covered in this AAP.</w:t>
      </w:r>
    </w:p>
    <w:p w14:paraId="4EC626C3" w14:textId="77777777" w:rsidR="000431F1" w:rsidRDefault="000431F1" w:rsidP="007E5BF0"/>
    <w:p w14:paraId="44EE13D5" w14:textId="77777777" w:rsidR="007E5BF0" w:rsidRDefault="15D4CFDC" w:rsidP="007E5BF0">
      <w:pPr>
        <w:pStyle w:val="Heading3"/>
      </w:pPr>
      <w:r>
        <w:t xml:space="preserve">HOME Investment Partnership Program (HOME) </w:t>
      </w:r>
    </w:p>
    <w:p w14:paraId="7C7BBC79" w14:textId="77777777" w:rsidR="007E5BF0" w:rsidRDefault="007E5BF0" w:rsidP="007E5BF0">
      <w:pPr>
        <w:pStyle w:val="Heading3"/>
      </w:pPr>
      <w:r>
        <w:t xml:space="preserve">Reference 24 </w:t>
      </w:r>
      <w:r w:rsidRPr="00CE7D1E">
        <w:t>CFR</w:t>
      </w:r>
      <w:r>
        <w:t xml:space="preserve"> 91.320(k)(2) </w:t>
      </w:r>
    </w:p>
    <w:p w14:paraId="31FA75F4" w14:textId="77777777" w:rsidR="007E5BF0" w:rsidRDefault="007E5BF0" w:rsidP="007E5BF0">
      <w:pPr>
        <w:pStyle w:val="InstructionalTextSubheading"/>
      </w:pPr>
    </w:p>
    <w:p w14:paraId="708BDF30" w14:textId="77777777" w:rsidR="007E5BF0" w:rsidRDefault="007E5BF0" w:rsidP="007E5BF0">
      <w:pPr>
        <w:pStyle w:val="InstructionalTextSubheading"/>
      </w:pPr>
      <w:r>
        <w:lastRenderedPageBreak/>
        <w:t xml:space="preserve">The jurisdiction must describe activities planned with HOME funds expected to be available during the year. All such activities should be included in the Projects screen. In addition, the following information should be supplied: </w:t>
      </w:r>
    </w:p>
    <w:p w14:paraId="40FE3491" w14:textId="77777777" w:rsidR="007E5BF0" w:rsidRPr="00167DEE" w:rsidRDefault="007E5BF0" w:rsidP="007E5BF0"/>
    <w:p w14:paraId="73336987" w14:textId="77777777" w:rsidR="007E5BF0" w:rsidRDefault="007E5BF0" w:rsidP="007E5BF0">
      <w:pPr>
        <w:pStyle w:val="Heading4"/>
      </w:pPr>
      <w:r>
        <w:t>1. A description of other forms of investment being used beyond those identified in Section 92.205 is as follows:</w:t>
      </w:r>
      <w:r>
        <w:rPr>
          <w:i/>
        </w:rPr>
        <w:t xml:space="preserve"> </w:t>
      </w:r>
    </w:p>
    <w:p w14:paraId="16644B7E" w14:textId="77777777" w:rsidR="007E5BF0" w:rsidRDefault="007E5BF0" w:rsidP="007E5BF0">
      <w:pPr>
        <w:rPr>
          <w:rFonts w:cs="Arial"/>
        </w:rPr>
      </w:pPr>
      <w:r w:rsidRPr="004B526C">
        <w:rPr>
          <w:rFonts w:cs="Arial"/>
        </w:rPr>
        <w:t xml:space="preserve">Commerce will not use HOME funds beyond </w:t>
      </w:r>
      <w:r>
        <w:rPr>
          <w:rFonts w:cs="Arial"/>
        </w:rPr>
        <w:t>eligible uses</w:t>
      </w:r>
      <w:r w:rsidRPr="004B526C">
        <w:rPr>
          <w:rFonts w:cs="Arial"/>
        </w:rPr>
        <w:t xml:space="preserve"> identified in 24 CFR Section 92.205.</w:t>
      </w:r>
    </w:p>
    <w:p w14:paraId="20B0E689" w14:textId="77777777" w:rsidR="007E5BF0" w:rsidRDefault="007E5BF0" w:rsidP="007E5BF0">
      <w:pPr>
        <w:rPr>
          <w:rFonts w:cs="Arial"/>
        </w:rPr>
      </w:pPr>
    </w:p>
    <w:p w14:paraId="3D88CD5E" w14:textId="77777777" w:rsidR="007E5BF0" w:rsidRDefault="007E5BF0" w:rsidP="007E5BF0">
      <w:pPr>
        <w:pStyle w:val="Heading4"/>
      </w:pPr>
      <w:r>
        <w:t>2. A description of the guidelines that will be used for resale or recapture of HOME funds when used for homebuyer activities as required in 92.254, is as follows:</w:t>
      </w:r>
      <w:r>
        <w:rPr>
          <w:i/>
        </w:rPr>
        <w:t xml:space="preserve"> </w:t>
      </w:r>
    </w:p>
    <w:p w14:paraId="443B6072" w14:textId="37447A5A" w:rsidR="007E5BF0" w:rsidRPr="004B526C" w:rsidRDefault="0087768E" w:rsidP="007E5BF0">
      <w:pPr>
        <w:rPr>
          <w:rFonts w:cs="Arial"/>
        </w:rPr>
      </w:pPr>
      <w:r>
        <w:rPr>
          <w:rFonts w:cs="Arial"/>
        </w:rPr>
        <w:t>State recipients and sub</w:t>
      </w:r>
      <w:r w:rsidRPr="004B526C">
        <w:rPr>
          <w:rFonts w:cs="Arial"/>
        </w:rPr>
        <w:t xml:space="preserve">recipients are eligible entities (entities) to </w:t>
      </w:r>
      <w:proofErr w:type="gramStart"/>
      <w:r w:rsidRPr="004B526C">
        <w:rPr>
          <w:rFonts w:cs="Arial"/>
        </w:rPr>
        <w:t>carryout</w:t>
      </w:r>
      <w:proofErr w:type="gramEnd"/>
      <w:r w:rsidRPr="004B526C">
        <w:rPr>
          <w:rFonts w:cs="Arial"/>
        </w:rPr>
        <w:t xml:space="preserve"> HOME-assisted homebuyer activities. </w:t>
      </w:r>
      <w:r>
        <w:rPr>
          <w:rFonts w:cs="Arial"/>
        </w:rPr>
        <w:t xml:space="preserve">Whether </w:t>
      </w:r>
      <w:r w:rsidR="007E5BF0" w:rsidRPr="004B526C">
        <w:rPr>
          <w:rFonts w:cs="Arial"/>
        </w:rPr>
        <w:t>Commerce</w:t>
      </w:r>
      <w:r w:rsidR="007E5BF0">
        <w:rPr>
          <w:rFonts w:cs="Arial"/>
        </w:rPr>
        <w:t>’s grantees</w:t>
      </w:r>
      <w:r w:rsidR="007E5BF0" w:rsidRPr="004B526C">
        <w:rPr>
          <w:rFonts w:cs="Arial"/>
        </w:rPr>
        <w:t xml:space="preserve"> use recapture </w:t>
      </w:r>
      <w:r>
        <w:rPr>
          <w:rFonts w:cs="Arial"/>
        </w:rPr>
        <w:t xml:space="preserve">or resale </w:t>
      </w:r>
      <w:r w:rsidR="007E5BF0" w:rsidRPr="004B526C">
        <w:rPr>
          <w:rFonts w:cs="Arial"/>
        </w:rPr>
        <w:t>p</w:t>
      </w:r>
      <w:r w:rsidR="007E5BF0">
        <w:rPr>
          <w:rFonts w:cs="Arial"/>
        </w:rPr>
        <w:t>rovisions for the</w:t>
      </w:r>
      <w:r w:rsidR="00BE6C0A">
        <w:rPr>
          <w:rFonts w:cs="Arial"/>
        </w:rPr>
        <w:t xml:space="preserve">ir </w:t>
      </w:r>
      <w:r w:rsidR="007E5BF0" w:rsidRPr="004B526C">
        <w:rPr>
          <w:rFonts w:cs="Arial"/>
        </w:rPr>
        <w:t xml:space="preserve">homebuyer </w:t>
      </w:r>
      <w:r w:rsidR="001F0288">
        <w:rPr>
          <w:rFonts w:cs="Arial"/>
        </w:rPr>
        <w:t xml:space="preserve">activities depends on the type of activity as well as the structure of the program. Down payment and closing cost assistance </w:t>
      </w:r>
      <w:r w:rsidR="00BE6C0A">
        <w:rPr>
          <w:rFonts w:cs="Arial"/>
        </w:rPr>
        <w:t xml:space="preserve">programs </w:t>
      </w:r>
      <w:r w:rsidR="001F0288">
        <w:rPr>
          <w:rFonts w:cs="Arial"/>
        </w:rPr>
        <w:t xml:space="preserve">that provide HOME funds directly to homebuyers are required to use recapture provisions unless the grantee will add the assisted home to a community land trust. </w:t>
      </w:r>
      <w:r w:rsidR="00634008">
        <w:rPr>
          <w:rFonts w:cs="Arial"/>
        </w:rPr>
        <w:t>I</w:t>
      </w:r>
      <w:r w:rsidR="001F0288">
        <w:rPr>
          <w:rFonts w:cs="Arial"/>
        </w:rPr>
        <w:t xml:space="preserve">f </w:t>
      </w:r>
      <w:r w:rsidR="00C260FE">
        <w:rPr>
          <w:rFonts w:cs="Arial"/>
        </w:rPr>
        <w:t>long</w:t>
      </w:r>
      <w:r w:rsidR="00174E33">
        <w:rPr>
          <w:rFonts w:cs="Arial"/>
        </w:rPr>
        <w:t>-</w:t>
      </w:r>
      <w:r w:rsidR="001F0288">
        <w:rPr>
          <w:rFonts w:cs="Arial"/>
        </w:rPr>
        <w:t xml:space="preserve">term affordability </w:t>
      </w:r>
      <w:proofErr w:type="gramStart"/>
      <w:r w:rsidR="001F0288">
        <w:rPr>
          <w:rFonts w:cs="Arial"/>
        </w:rPr>
        <w:t>will be</w:t>
      </w:r>
      <w:proofErr w:type="gramEnd"/>
      <w:r w:rsidR="001F0288">
        <w:rPr>
          <w:rFonts w:cs="Arial"/>
        </w:rPr>
        <w:t xml:space="preserve"> ensured through a land trust, resale </w:t>
      </w:r>
      <w:r w:rsidR="00EC1BC3">
        <w:rPr>
          <w:rFonts w:cs="Arial"/>
        </w:rPr>
        <w:t xml:space="preserve">provisions will be used. </w:t>
      </w:r>
      <w:r w:rsidR="007E5BF0" w:rsidRPr="004B526C">
        <w:rPr>
          <w:rFonts w:cs="Arial"/>
        </w:rPr>
        <w:t xml:space="preserve">The HOME-assisted homebuyer subsidy can be structured through </w:t>
      </w:r>
      <w:r w:rsidR="007E5BF0">
        <w:rPr>
          <w:rFonts w:cs="Arial"/>
        </w:rPr>
        <w:t>0%</w:t>
      </w:r>
      <w:r w:rsidR="007E5BF0" w:rsidRPr="004B526C">
        <w:rPr>
          <w:rFonts w:cs="Arial"/>
        </w:rPr>
        <w:t xml:space="preserve"> interest or low interest loans, grants, deferred payment loans, or interest rate subsidies.</w:t>
      </w:r>
    </w:p>
    <w:p w14:paraId="34EFD253" w14:textId="77777777" w:rsidR="007E5BF0" w:rsidRPr="004B526C" w:rsidRDefault="007E5BF0" w:rsidP="007E5BF0">
      <w:pPr>
        <w:rPr>
          <w:rFonts w:cs="Arial"/>
        </w:rPr>
      </w:pPr>
    </w:p>
    <w:p w14:paraId="6F649CFB" w14:textId="77777777" w:rsidR="007E5BF0" w:rsidRDefault="007E5BF0" w:rsidP="007E5BF0">
      <w:pPr>
        <w:rPr>
          <w:rFonts w:cs="Arial"/>
        </w:rPr>
      </w:pPr>
      <w:r w:rsidRPr="004B526C">
        <w:rPr>
          <w:rFonts w:cs="Arial"/>
        </w:rPr>
        <w:t xml:space="preserve">When Commerce provides HOME assistance as development subsidy only, it will follow the </w:t>
      </w:r>
      <w:r>
        <w:rPr>
          <w:rFonts w:cs="Arial"/>
        </w:rPr>
        <w:t>r</w:t>
      </w:r>
      <w:r w:rsidRPr="004B526C">
        <w:rPr>
          <w:rFonts w:cs="Arial"/>
        </w:rPr>
        <w:t>esale provisions detailed below, in accordance with 24 CFR 92.254(a)(5)(ii)(A)(5), which states “If the HOME assistance is only used for the development subsidy and therefore not subject to recapture, the Resale option must be used.”</w:t>
      </w:r>
    </w:p>
    <w:p w14:paraId="01E7396E" w14:textId="77777777" w:rsidR="007E5BF0" w:rsidRDefault="007E5BF0" w:rsidP="007E5BF0">
      <w:pPr>
        <w:rPr>
          <w:rFonts w:cs="Arial"/>
        </w:rPr>
      </w:pPr>
    </w:p>
    <w:p w14:paraId="1E92E856" w14:textId="77777777" w:rsidR="007E5BF0" w:rsidRDefault="007E5BF0" w:rsidP="007E5BF0">
      <w:pPr>
        <w:pStyle w:val="Heading4"/>
      </w:pPr>
      <w:r>
        <w:t>3. A description of the guidelines for resale or recapture that ensures the affordability of units acquired with HOME funds? See 24 CFR 92.254(a)(4) are as follows:</w:t>
      </w:r>
      <w:r>
        <w:rPr>
          <w:i/>
        </w:rPr>
        <w:t xml:space="preserve"> </w:t>
      </w:r>
    </w:p>
    <w:p w14:paraId="04E7E7A4" w14:textId="77777777" w:rsidR="007E5BF0" w:rsidRDefault="007E5BF0" w:rsidP="007E5BF0">
      <w:pPr>
        <w:rPr>
          <w:rFonts w:cs="Arial"/>
        </w:rPr>
      </w:pPr>
    </w:p>
    <w:p w14:paraId="4FAE3221" w14:textId="77777777" w:rsidR="007E5BF0" w:rsidRPr="004B526C" w:rsidRDefault="007E5BF0" w:rsidP="007E5BF0">
      <w:pPr>
        <w:pStyle w:val="Heading5"/>
      </w:pPr>
      <w:r w:rsidRPr="004B526C">
        <w:t xml:space="preserve">Requirement for Homebuyer Assistance </w:t>
      </w:r>
    </w:p>
    <w:p w14:paraId="68C5F4A0" w14:textId="4AB3FCE3" w:rsidR="007E5BF0" w:rsidRPr="004B526C" w:rsidRDefault="007E5BF0" w:rsidP="007E5BF0">
      <w:pPr>
        <w:rPr>
          <w:rFonts w:cs="Arial"/>
        </w:rPr>
      </w:pPr>
      <w:r w:rsidRPr="004B526C">
        <w:rPr>
          <w:rFonts w:cs="Arial"/>
        </w:rPr>
        <w:t xml:space="preserve">Recapture provisions will only be used for direct assistance to the homebuyer and resale provisions will be used for all development </w:t>
      </w:r>
      <w:proofErr w:type="gramStart"/>
      <w:r w:rsidRPr="004B526C">
        <w:rPr>
          <w:rFonts w:cs="Arial"/>
        </w:rPr>
        <w:t>subsidy</w:t>
      </w:r>
      <w:proofErr w:type="gramEnd"/>
      <w:r>
        <w:rPr>
          <w:rFonts w:cs="Arial"/>
        </w:rPr>
        <w:t xml:space="preserve"> and </w:t>
      </w:r>
      <w:r w:rsidR="000B4E56">
        <w:rPr>
          <w:rFonts w:cs="Arial"/>
        </w:rPr>
        <w:t xml:space="preserve">for </w:t>
      </w:r>
      <w:r>
        <w:rPr>
          <w:rFonts w:cs="Arial"/>
        </w:rPr>
        <w:t>homebuyer assistance when homes will be placed in a community land trust</w:t>
      </w:r>
      <w:r w:rsidRPr="004B526C">
        <w:rPr>
          <w:rFonts w:cs="Arial"/>
        </w:rPr>
        <w:t>. Any of the entities who have elected to provide homebuyer assistance under this program are required to specify their recapture or resale provisions as applicable for the period of affordability. Written agreements for homebuyer assistance activities funded by Commerce will include the appropriate provisions to ensure the period of affordability, principal residency requirements, and any other recapture or resale terms and conditions t</w:t>
      </w:r>
      <w:r>
        <w:rPr>
          <w:rFonts w:cs="Arial"/>
        </w:rPr>
        <w:t>o comply with HOME regulations.</w:t>
      </w:r>
    </w:p>
    <w:p w14:paraId="0D4699C3" w14:textId="77777777" w:rsidR="007E5BF0" w:rsidRPr="004B526C" w:rsidRDefault="007E5BF0" w:rsidP="007E5BF0">
      <w:pPr>
        <w:rPr>
          <w:rFonts w:cs="Arial"/>
        </w:rPr>
      </w:pPr>
    </w:p>
    <w:p w14:paraId="68857613" w14:textId="77777777" w:rsidR="007E5BF0" w:rsidRPr="004B526C" w:rsidRDefault="007E5BF0" w:rsidP="007E5BF0">
      <w:pPr>
        <w:pStyle w:val="Heading5"/>
      </w:pPr>
      <w:r w:rsidRPr="004B526C">
        <w:t>Principal Residency</w:t>
      </w:r>
    </w:p>
    <w:p w14:paraId="630FA57F" w14:textId="11DD8202" w:rsidR="007E5BF0" w:rsidRPr="004B526C" w:rsidRDefault="007E5BF0" w:rsidP="007E5BF0">
      <w:pPr>
        <w:rPr>
          <w:rFonts w:cs="Arial"/>
        </w:rPr>
      </w:pPr>
      <w:r w:rsidRPr="54FDEEE5">
        <w:rPr>
          <w:rFonts w:cs="Arial"/>
        </w:rPr>
        <w:t xml:space="preserve">The initial homebuyer must reside in the home as </w:t>
      </w:r>
      <w:r w:rsidR="00285E8C" w:rsidRPr="54FDEEE5">
        <w:rPr>
          <w:rFonts w:cs="Arial"/>
        </w:rPr>
        <w:t>their</w:t>
      </w:r>
      <w:r w:rsidRPr="54FDEEE5">
        <w:rPr>
          <w:rFonts w:cs="Arial"/>
        </w:rPr>
        <w:t xml:space="preserve"> principal residence for the duration of the period of affordability (see </w:t>
      </w:r>
      <w:r w:rsidRPr="54FDEEE5">
        <w:rPr>
          <w:rFonts w:cs="Arial"/>
          <w:b/>
          <w:bCs/>
        </w:rPr>
        <w:t>Table AP-4</w:t>
      </w:r>
      <w:r w:rsidRPr="54FDEEE5">
        <w:rPr>
          <w:rFonts w:cs="Arial"/>
        </w:rPr>
        <w:t xml:space="preserve">). If the home is transferred within the period of affordability, the </w:t>
      </w:r>
      <w:r w:rsidR="000B4E56" w:rsidRPr="54FDEEE5">
        <w:rPr>
          <w:rFonts w:cs="Arial"/>
        </w:rPr>
        <w:t xml:space="preserve">applicable </w:t>
      </w:r>
      <w:r w:rsidRPr="54FDEEE5">
        <w:rPr>
          <w:rFonts w:cs="Arial"/>
        </w:rPr>
        <w:t>resale or recapture provisions will be enforced.</w:t>
      </w:r>
    </w:p>
    <w:p w14:paraId="6A4CD6DF" w14:textId="77777777" w:rsidR="007E5BF0" w:rsidRPr="004B526C" w:rsidRDefault="007E5BF0" w:rsidP="007E5BF0">
      <w:pPr>
        <w:rPr>
          <w:rFonts w:cs="Arial"/>
        </w:rPr>
      </w:pPr>
    </w:p>
    <w:p w14:paraId="20DC0BC5" w14:textId="77777777" w:rsidR="007E5BF0" w:rsidRPr="004B526C" w:rsidRDefault="007E5BF0" w:rsidP="007E5BF0">
      <w:pPr>
        <w:pStyle w:val="Heading5"/>
      </w:pPr>
      <w:r w:rsidRPr="004B526C">
        <w:t>Period of Affordability</w:t>
      </w:r>
    </w:p>
    <w:p w14:paraId="34BC477A" w14:textId="77777777" w:rsidR="007E5BF0" w:rsidRPr="004B526C" w:rsidRDefault="007E5BF0" w:rsidP="007E5BF0">
      <w:pPr>
        <w:rPr>
          <w:rFonts w:cs="Arial"/>
        </w:rPr>
      </w:pPr>
      <w:r>
        <w:rPr>
          <w:rFonts w:cs="Arial"/>
        </w:rPr>
        <w:t>The r</w:t>
      </w:r>
      <w:r w:rsidRPr="004B526C">
        <w:rPr>
          <w:rFonts w:cs="Arial"/>
        </w:rPr>
        <w:t xml:space="preserve">ecapture and </w:t>
      </w:r>
      <w:r>
        <w:rPr>
          <w:rFonts w:cs="Arial"/>
        </w:rPr>
        <w:t>r</w:t>
      </w:r>
      <w:r w:rsidRPr="004B526C">
        <w:rPr>
          <w:rFonts w:cs="Arial"/>
        </w:rPr>
        <w:t>esale provisions are in effect for a period of affordability based on the total amount of HOME funds provided directly to the homebuyer that enabled the homebuyer to purchase the unit or the amount of HOME funds invested in t</w:t>
      </w:r>
      <w:r>
        <w:rPr>
          <w:rFonts w:cs="Arial"/>
        </w:rPr>
        <w:t xml:space="preserve">he development of the unit. </w:t>
      </w:r>
      <w:r w:rsidRPr="004B526C">
        <w:rPr>
          <w:rFonts w:cs="Arial"/>
        </w:rPr>
        <w:t>Any HOME program income used to assist the homebuyer or development is included when determining the</w:t>
      </w:r>
      <w:r>
        <w:rPr>
          <w:rFonts w:cs="Arial"/>
        </w:rPr>
        <w:t xml:space="preserve"> period of affordability under recapture or r</w:t>
      </w:r>
      <w:r w:rsidRPr="004B526C">
        <w:rPr>
          <w:rFonts w:cs="Arial"/>
        </w:rPr>
        <w:t>esale provisions.</w:t>
      </w:r>
    </w:p>
    <w:p w14:paraId="360EF507" w14:textId="77777777" w:rsidR="007E5BF0" w:rsidRPr="004B526C" w:rsidRDefault="007E5BF0" w:rsidP="007E5BF0">
      <w:pPr>
        <w:rPr>
          <w:rFonts w:cs="Arial"/>
        </w:rPr>
      </w:pPr>
    </w:p>
    <w:p w14:paraId="76DAE1FC" w14:textId="77777777" w:rsidR="007E5BF0" w:rsidRPr="004B526C" w:rsidRDefault="007E5BF0" w:rsidP="007E5BF0">
      <w:pPr>
        <w:rPr>
          <w:rFonts w:cs="Arial"/>
        </w:rPr>
      </w:pPr>
      <w:r w:rsidRPr="004B526C">
        <w:rPr>
          <w:rFonts w:cs="Arial"/>
        </w:rPr>
        <w:t xml:space="preserve">The minimum affordability periods for </w:t>
      </w:r>
      <w:r>
        <w:rPr>
          <w:rFonts w:cs="Arial"/>
        </w:rPr>
        <w:t>r</w:t>
      </w:r>
      <w:r w:rsidRPr="004B526C">
        <w:rPr>
          <w:rFonts w:cs="Arial"/>
        </w:rPr>
        <w:t xml:space="preserve">ecapture and </w:t>
      </w:r>
      <w:r>
        <w:rPr>
          <w:rFonts w:cs="Arial"/>
        </w:rPr>
        <w:t>r</w:t>
      </w:r>
      <w:r w:rsidRPr="004B526C">
        <w:rPr>
          <w:rFonts w:cs="Arial"/>
        </w:rPr>
        <w:t>esale provisions are outlined</w:t>
      </w:r>
      <w:r>
        <w:rPr>
          <w:rFonts w:cs="Arial"/>
        </w:rPr>
        <w:t xml:space="preserve"> in </w:t>
      </w:r>
      <w:r w:rsidRPr="00882292">
        <w:rPr>
          <w:rFonts w:cs="Arial"/>
          <w:b/>
        </w:rPr>
        <w:t>Table AP-</w:t>
      </w:r>
      <w:r>
        <w:rPr>
          <w:rFonts w:cs="Arial"/>
          <w:b/>
        </w:rPr>
        <w:t>4</w:t>
      </w:r>
      <w:r>
        <w:rPr>
          <w:rFonts w:cs="Arial"/>
        </w:rPr>
        <w:t>.</w:t>
      </w:r>
    </w:p>
    <w:p w14:paraId="461C7596" w14:textId="77777777" w:rsidR="007E5BF0" w:rsidRDefault="007E5BF0" w:rsidP="007E5BF0">
      <w:pPr>
        <w:rPr>
          <w:rFonts w:cs="Arial"/>
        </w:rPr>
      </w:pPr>
    </w:p>
    <w:p w14:paraId="4CD7CAD7" w14:textId="77777777" w:rsidR="007E5BF0" w:rsidRDefault="007E5BF0" w:rsidP="007E5BF0">
      <w:pPr>
        <w:pStyle w:val="TableCaption"/>
      </w:pPr>
      <w:bookmarkStart w:id="105" w:name="_Toc70505204"/>
      <w:bookmarkStart w:id="106" w:name="_Toc73081452"/>
      <w:r>
        <w:t>Table AP-4 – HOME Affordability Periods</w:t>
      </w:r>
      <w:bookmarkEnd w:id="105"/>
      <w:bookmarkEnd w:id="106"/>
      <w:r>
        <w:t xml:space="preserve"> </w:t>
      </w:r>
    </w:p>
    <w:tbl>
      <w:tblPr>
        <w:tblStyle w:val="TableGrid"/>
        <w:tblW w:w="5000" w:type="pct"/>
        <w:jc w:val="center"/>
        <w:tblLook w:val="04A0" w:firstRow="1" w:lastRow="0" w:firstColumn="1" w:lastColumn="0" w:noHBand="0" w:noVBand="1"/>
        <w:tblCaption w:val="HOME Affordability Periods (Table AP-4)"/>
        <w:tblDescription w:val="This table shows periods of affordability required according to levels of assistance provided under the HOME Program."/>
      </w:tblPr>
      <w:tblGrid>
        <w:gridCol w:w="5053"/>
        <w:gridCol w:w="4297"/>
      </w:tblGrid>
      <w:tr w:rsidR="007E5BF0" w:rsidRPr="003F605D" w14:paraId="7861F1DF" w14:textId="77777777" w:rsidTr="0044257C">
        <w:trPr>
          <w:trHeight w:val="20"/>
          <w:jc w:val="center"/>
        </w:trPr>
        <w:tc>
          <w:tcPr>
            <w:tcW w:w="2702" w:type="pct"/>
            <w:shd w:val="clear" w:color="auto" w:fill="C5D4D5"/>
          </w:tcPr>
          <w:p w14:paraId="0D8D81A9" w14:textId="77777777" w:rsidR="007E5BF0" w:rsidRPr="006C6D26" w:rsidRDefault="007E5BF0" w:rsidP="0044257C">
            <w:pPr>
              <w:rPr>
                <w:bCs/>
                <w:sz w:val="20"/>
                <w:szCs w:val="20"/>
              </w:rPr>
            </w:pPr>
            <w:r w:rsidRPr="006C6D26">
              <w:rPr>
                <w:bCs/>
                <w:sz w:val="20"/>
                <w:szCs w:val="20"/>
              </w:rPr>
              <w:t>HOME Assistance to Buyer</w:t>
            </w:r>
          </w:p>
        </w:tc>
        <w:tc>
          <w:tcPr>
            <w:tcW w:w="2298" w:type="pct"/>
            <w:shd w:val="clear" w:color="auto" w:fill="C5D4D5"/>
            <w:vAlign w:val="center"/>
          </w:tcPr>
          <w:p w14:paraId="08B3E4EC" w14:textId="77777777" w:rsidR="007E5BF0" w:rsidRPr="006C6D26" w:rsidRDefault="007E5BF0" w:rsidP="0044257C">
            <w:pPr>
              <w:jc w:val="center"/>
              <w:rPr>
                <w:bCs/>
                <w:sz w:val="20"/>
                <w:szCs w:val="20"/>
              </w:rPr>
            </w:pPr>
            <w:r w:rsidRPr="006C6D26">
              <w:rPr>
                <w:bCs/>
                <w:sz w:val="20"/>
                <w:szCs w:val="20"/>
              </w:rPr>
              <w:t>Period of Affordability</w:t>
            </w:r>
          </w:p>
        </w:tc>
      </w:tr>
      <w:tr w:rsidR="007E5BF0" w:rsidRPr="003F605D" w14:paraId="4C0EB7CB" w14:textId="77777777" w:rsidTr="0044257C">
        <w:trPr>
          <w:trHeight w:val="20"/>
          <w:jc w:val="center"/>
        </w:trPr>
        <w:tc>
          <w:tcPr>
            <w:tcW w:w="2702" w:type="pct"/>
            <w:shd w:val="clear" w:color="auto" w:fill="auto"/>
            <w:vAlign w:val="center"/>
          </w:tcPr>
          <w:p w14:paraId="6088E46E" w14:textId="77777777" w:rsidR="007E5BF0" w:rsidRPr="006C6D26" w:rsidRDefault="007E5BF0" w:rsidP="0044257C">
            <w:pPr>
              <w:rPr>
                <w:sz w:val="20"/>
                <w:szCs w:val="20"/>
              </w:rPr>
            </w:pPr>
            <w:r w:rsidRPr="006C6D26">
              <w:rPr>
                <w:sz w:val="20"/>
                <w:szCs w:val="20"/>
              </w:rPr>
              <w:t xml:space="preserve"> Less than $15,000 </w:t>
            </w:r>
          </w:p>
        </w:tc>
        <w:tc>
          <w:tcPr>
            <w:tcW w:w="2298" w:type="pct"/>
            <w:shd w:val="clear" w:color="auto" w:fill="auto"/>
            <w:vAlign w:val="center"/>
          </w:tcPr>
          <w:p w14:paraId="7EB049DE" w14:textId="77777777" w:rsidR="007E5BF0" w:rsidRPr="006C6D26" w:rsidRDefault="007E5BF0" w:rsidP="0044257C">
            <w:pPr>
              <w:jc w:val="center"/>
              <w:rPr>
                <w:sz w:val="20"/>
                <w:szCs w:val="20"/>
              </w:rPr>
            </w:pPr>
            <w:r w:rsidRPr="006C6D26">
              <w:rPr>
                <w:sz w:val="20"/>
                <w:szCs w:val="20"/>
              </w:rPr>
              <w:t>5 years</w:t>
            </w:r>
          </w:p>
        </w:tc>
      </w:tr>
      <w:tr w:rsidR="007E5BF0" w:rsidRPr="003F605D" w14:paraId="388CCFEC" w14:textId="77777777" w:rsidTr="0044257C">
        <w:trPr>
          <w:trHeight w:val="20"/>
          <w:jc w:val="center"/>
        </w:trPr>
        <w:tc>
          <w:tcPr>
            <w:tcW w:w="2702" w:type="pct"/>
            <w:shd w:val="clear" w:color="auto" w:fill="auto"/>
            <w:vAlign w:val="center"/>
          </w:tcPr>
          <w:p w14:paraId="6BADC12F" w14:textId="77777777" w:rsidR="007E5BF0" w:rsidRPr="006C6D26" w:rsidRDefault="007E5BF0" w:rsidP="0044257C">
            <w:pPr>
              <w:rPr>
                <w:sz w:val="20"/>
                <w:szCs w:val="20"/>
              </w:rPr>
            </w:pPr>
            <w:r w:rsidRPr="006C6D26">
              <w:rPr>
                <w:sz w:val="20"/>
                <w:szCs w:val="20"/>
              </w:rPr>
              <w:t>$15,000 - $40,000</w:t>
            </w:r>
          </w:p>
        </w:tc>
        <w:tc>
          <w:tcPr>
            <w:tcW w:w="2298" w:type="pct"/>
            <w:shd w:val="clear" w:color="auto" w:fill="auto"/>
            <w:vAlign w:val="center"/>
          </w:tcPr>
          <w:p w14:paraId="03D90B22" w14:textId="77777777" w:rsidR="007E5BF0" w:rsidRPr="006C6D26" w:rsidRDefault="007E5BF0" w:rsidP="0044257C">
            <w:pPr>
              <w:jc w:val="center"/>
              <w:rPr>
                <w:sz w:val="20"/>
                <w:szCs w:val="20"/>
              </w:rPr>
            </w:pPr>
            <w:r w:rsidRPr="006C6D26">
              <w:rPr>
                <w:sz w:val="20"/>
                <w:szCs w:val="20"/>
              </w:rPr>
              <w:t>10 years</w:t>
            </w:r>
          </w:p>
        </w:tc>
      </w:tr>
      <w:tr w:rsidR="007E5BF0" w:rsidRPr="003F605D" w14:paraId="6C641F87" w14:textId="77777777" w:rsidTr="0044257C">
        <w:trPr>
          <w:trHeight w:val="20"/>
          <w:jc w:val="center"/>
        </w:trPr>
        <w:tc>
          <w:tcPr>
            <w:tcW w:w="2702" w:type="pct"/>
            <w:shd w:val="clear" w:color="auto" w:fill="auto"/>
            <w:vAlign w:val="center"/>
          </w:tcPr>
          <w:p w14:paraId="0D116FE6" w14:textId="77777777" w:rsidR="007E5BF0" w:rsidRPr="006C6D26" w:rsidRDefault="007E5BF0" w:rsidP="0044257C">
            <w:pPr>
              <w:rPr>
                <w:sz w:val="20"/>
                <w:szCs w:val="20"/>
              </w:rPr>
            </w:pPr>
            <w:r w:rsidRPr="006C6D26">
              <w:rPr>
                <w:sz w:val="20"/>
                <w:szCs w:val="20"/>
              </w:rPr>
              <w:t xml:space="preserve">More than $40,000 </w:t>
            </w:r>
          </w:p>
        </w:tc>
        <w:tc>
          <w:tcPr>
            <w:tcW w:w="2298" w:type="pct"/>
            <w:shd w:val="clear" w:color="auto" w:fill="auto"/>
            <w:vAlign w:val="center"/>
          </w:tcPr>
          <w:p w14:paraId="70FE71E4" w14:textId="77777777" w:rsidR="007E5BF0" w:rsidRPr="006C6D26" w:rsidRDefault="007E5BF0" w:rsidP="0044257C">
            <w:pPr>
              <w:jc w:val="center"/>
              <w:rPr>
                <w:sz w:val="20"/>
                <w:szCs w:val="20"/>
              </w:rPr>
            </w:pPr>
            <w:r w:rsidRPr="006C6D26">
              <w:rPr>
                <w:sz w:val="20"/>
                <w:szCs w:val="20"/>
              </w:rPr>
              <w:t>15 years</w:t>
            </w:r>
          </w:p>
        </w:tc>
      </w:tr>
    </w:tbl>
    <w:p w14:paraId="581A66DE" w14:textId="77777777" w:rsidR="007E5BF0" w:rsidRDefault="007E5BF0" w:rsidP="007E5BF0">
      <w:pPr>
        <w:rPr>
          <w:rFonts w:cs="Arial"/>
        </w:rPr>
      </w:pPr>
    </w:p>
    <w:p w14:paraId="07E930FD" w14:textId="77777777" w:rsidR="007E5BF0" w:rsidRPr="004B526C" w:rsidRDefault="007E5BF0" w:rsidP="007E5BF0">
      <w:pPr>
        <w:pStyle w:val="Heading5"/>
      </w:pPr>
      <w:r w:rsidRPr="004B526C">
        <w:t>Written agreement and enforcement mechanisms</w:t>
      </w:r>
    </w:p>
    <w:p w14:paraId="18090153" w14:textId="77777777" w:rsidR="007E5BF0" w:rsidRPr="004B526C" w:rsidRDefault="007E5BF0" w:rsidP="007E5BF0">
      <w:pPr>
        <w:rPr>
          <w:rFonts w:cs="Arial"/>
        </w:rPr>
      </w:pPr>
      <w:r>
        <w:rPr>
          <w:rFonts w:cs="Arial"/>
        </w:rPr>
        <w:t>W</w:t>
      </w:r>
      <w:r w:rsidRPr="004B526C">
        <w:rPr>
          <w:rFonts w:cs="Arial"/>
        </w:rPr>
        <w:t>hether using recapture or resale, entities must establish and enforce provisions through a written agreement with the homebuyers that accurately reflects the resale or recapture provisions, before or at the time of</w:t>
      </w:r>
      <w:r>
        <w:rPr>
          <w:rFonts w:cs="Arial"/>
        </w:rPr>
        <w:t xml:space="preserve"> sale. </w:t>
      </w:r>
      <w:r w:rsidRPr="004B526C">
        <w:rPr>
          <w:rFonts w:cs="Arial"/>
        </w:rPr>
        <w:t xml:space="preserve">Commerce will use deed restrictions, trust indenture, covenants running with the land, mortgages, or other similar enforcement mechanisms to retain the authority to ensure the provisions being used are in accordance with those stated in the written agreement with the entities. Commerce will specify which enforcement mechanism it will use. </w:t>
      </w:r>
    </w:p>
    <w:p w14:paraId="2C849576" w14:textId="77777777" w:rsidR="007E5BF0" w:rsidRPr="004B526C" w:rsidRDefault="007E5BF0" w:rsidP="007E5BF0">
      <w:pPr>
        <w:rPr>
          <w:rFonts w:cs="Arial"/>
        </w:rPr>
      </w:pPr>
    </w:p>
    <w:p w14:paraId="75668E34" w14:textId="5E0CF33E" w:rsidR="007E5BF0" w:rsidRPr="004B526C" w:rsidRDefault="007E5BF0" w:rsidP="007E5BF0">
      <w:pPr>
        <w:rPr>
          <w:rFonts w:cs="Arial"/>
        </w:rPr>
      </w:pPr>
      <w:r w:rsidRPr="54FDEEE5">
        <w:rPr>
          <w:rFonts w:cs="Arial"/>
        </w:rPr>
        <w:t xml:space="preserve">During grant monitoring of the HOME Program entities, Commerce will review the deed restrictions, trust indenture, covenants running with the land, mortgages, or other similar mechanisms placed on the HOME-assisted property to ensure the provisions being used are in accordance with those stated in the written agreement with the entities. During the period of affordability, the entities must complete an annual compliance check to ensure that the initial homebuyer still resides in the property as </w:t>
      </w:r>
      <w:r w:rsidR="00285E8C" w:rsidRPr="54FDEEE5">
        <w:rPr>
          <w:rFonts w:cs="Arial"/>
        </w:rPr>
        <w:t xml:space="preserve">their </w:t>
      </w:r>
      <w:r w:rsidRPr="54FDEEE5">
        <w:rPr>
          <w:rFonts w:cs="Arial"/>
        </w:rPr>
        <w:t>principal residence. The most current utility statement, proof of paid taxes, or certificate of homeowner’s insurance are acceptable documentation.</w:t>
      </w:r>
    </w:p>
    <w:p w14:paraId="7A6A65E3" w14:textId="77777777" w:rsidR="007E5BF0" w:rsidRPr="004B526C" w:rsidRDefault="007E5BF0" w:rsidP="007E5BF0">
      <w:pPr>
        <w:rPr>
          <w:rFonts w:cs="Arial"/>
        </w:rPr>
      </w:pPr>
    </w:p>
    <w:p w14:paraId="5ED39F30" w14:textId="6AC272AD" w:rsidR="007E5BF0" w:rsidRPr="004B526C" w:rsidRDefault="007E5BF0" w:rsidP="007E5BF0">
      <w:pPr>
        <w:rPr>
          <w:rFonts w:cs="Arial"/>
        </w:rPr>
      </w:pPr>
      <w:r w:rsidRPr="54FDEEE5">
        <w:rPr>
          <w:rFonts w:cs="Arial"/>
        </w:rPr>
        <w:t xml:space="preserve">If a homeowner voluntarily or involuntarily transfers </w:t>
      </w:r>
      <w:r w:rsidR="00285E8C" w:rsidRPr="54FDEEE5">
        <w:rPr>
          <w:rFonts w:cs="Arial"/>
        </w:rPr>
        <w:t>their</w:t>
      </w:r>
      <w:r w:rsidRPr="54FDEEE5">
        <w:rPr>
          <w:rFonts w:cs="Arial"/>
        </w:rPr>
        <w:t xml:space="preserve"> property (e.g., through sale or foreclosure) during the period of affordability, the appropriate recapture or resale provisions will go into effect. Commerce must be notified of a voluntary or involuntary sale or transaction changing ownership, and the applicable recapture or resale provisions must be employed.</w:t>
      </w:r>
    </w:p>
    <w:p w14:paraId="778ED9AA" w14:textId="77777777" w:rsidR="007E5BF0" w:rsidRPr="004B526C" w:rsidRDefault="007E5BF0" w:rsidP="007E5BF0">
      <w:pPr>
        <w:rPr>
          <w:rFonts w:cs="Arial"/>
        </w:rPr>
      </w:pPr>
    </w:p>
    <w:p w14:paraId="3E4137CF" w14:textId="77777777" w:rsidR="007E5BF0" w:rsidRPr="004B526C" w:rsidRDefault="007E5BF0" w:rsidP="007E5BF0">
      <w:pPr>
        <w:pStyle w:val="Heading5"/>
      </w:pPr>
      <w:r w:rsidRPr="004B526C">
        <w:t>Triggering resale or recapture provisions</w:t>
      </w:r>
    </w:p>
    <w:p w14:paraId="6706CD26" w14:textId="77777777" w:rsidR="007E5BF0" w:rsidRPr="004B526C" w:rsidRDefault="007E5BF0" w:rsidP="007E5BF0">
      <w:pPr>
        <w:rPr>
          <w:rFonts w:cs="Arial"/>
        </w:rPr>
      </w:pPr>
      <w:r w:rsidRPr="004B526C">
        <w:rPr>
          <w:rFonts w:cs="Arial"/>
        </w:rPr>
        <w:t>Noncompliance occurs when the homeowner does not comply with the terms and conditions of the written agreement during the period of affordability, which includes when the homeowner does not occupy the unit as their principal residence, or when the home is voluntarily or involuntarily transferred in a transaction changing ownership without proper notice and the appropriate provisions were not enforced. In the event of noncompliance, the appropriate recapture or resale provisions will go into effect, and the homeowner is subject to repayment of all HOME assistance invested in the housing unit. This is based on the amount of HOME subsidy invested in the property (subsidy includes any program income or HOME funds invested). The repayment amount is not subject to any reductions that might otherwise apply under the recapture or resale provisions listed in this document.</w:t>
      </w:r>
      <w:r>
        <w:rPr>
          <w:rFonts w:cs="Arial"/>
        </w:rPr>
        <w:t xml:space="preserve"> </w:t>
      </w:r>
    </w:p>
    <w:p w14:paraId="0AF9198D" w14:textId="77777777" w:rsidR="007E5BF0" w:rsidRPr="004B526C" w:rsidRDefault="007E5BF0" w:rsidP="007E5BF0">
      <w:pPr>
        <w:rPr>
          <w:rFonts w:cs="Arial"/>
        </w:rPr>
      </w:pPr>
    </w:p>
    <w:p w14:paraId="1155FB89" w14:textId="77777777" w:rsidR="007E5BF0" w:rsidRPr="004B526C" w:rsidRDefault="007E5BF0" w:rsidP="007E5BF0">
      <w:pPr>
        <w:pStyle w:val="ListParagraph"/>
        <w:numPr>
          <w:ilvl w:val="0"/>
          <w:numId w:val="12"/>
        </w:numPr>
        <w:rPr>
          <w:rFonts w:cs="Arial"/>
          <w:b/>
          <w:bCs/>
        </w:rPr>
      </w:pPr>
      <w:r w:rsidRPr="004B526C">
        <w:rPr>
          <w:rFonts w:cs="Arial"/>
          <w:b/>
          <w:bCs/>
        </w:rPr>
        <w:t>Resale Provisions</w:t>
      </w:r>
    </w:p>
    <w:p w14:paraId="2A9F6AEC" w14:textId="77777777" w:rsidR="007E5BF0" w:rsidRPr="004B526C" w:rsidRDefault="007E5BF0" w:rsidP="007E5BF0">
      <w:pPr>
        <w:rPr>
          <w:rFonts w:cs="Arial"/>
        </w:rPr>
      </w:pPr>
    </w:p>
    <w:p w14:paraId="40D5A365" w14:textId="77777777" w:rsidR="007E5BF0" w:rsidRPr="004B526C" w:rsidRDefault="007E5BF0" w:rsidP="007E5BF0">
      <w:pPr>
        <w:rPr>
          <w:rFonts w:cs="Arial"/>
        </w:rPr>
      </w:pPr>
      <w:r w:rsidRPr="004B526C">
        <w:rPr>
          <w:rFonts w:cs="Arial"/>
        </w:rPr>
        <w:t xml:space="preserve">Resale provisions will be used when HOME assistance is only used as </w:t>
      </w:r>
      <w:proofErr w:type="gramStart"/>
      <w:r w:rsidRPr="004B526C">
        <w:rPr>
          <w:rFonts w:cs="Arial"/>
        </w:rPr>
        <w:t>development</w:t>
      </w:r>
      <w:proofErr w:type="gramEnd"/>
      <w:r w:rsidRPr="004B526C">
        <w:rPr>
          <w:rFonts w:cs="Arial"/>
        </w:rPr>
        <w:t xml:space="preserve"> subsidy and therefore is not subject to recapture. </w:t>
      </w:r>
      <w:r>
        <w:rPr>
          <w:rFonts w:cs="Arial"/>
        </w:rPr>
        <w:t xml:space="preserve">If homebuyer assistance is provided for a home that will be put into a community land trust, resale provisions will be used. </w:t>
      </w:r>
      <w:r w:rsidRPr="004B526C">
        <w:rPr>
          <w:rFonts w:cs="Arial"/>
        </w:rPr>
        <w:t>The resale option is typically used in areas with predominantly high home sales prices, areas subject to rapidly appreciating housing costs, areas with a shortage of affordable homes for sale and no available land to build new homes.</w:t>
      </w:r>
    </w:p>
    <w:p w14:paraId="5EEA345A" w14:textId="77777777" w:rsidR="007E5BF0" w:rsidRPr="004B526C" w:rsidRDefault="007E5BF0" w:rsidP="007E5BF0">
      <w:pPr>
        <w:rPr>
          <w:rFonts w:cs="Arial"/>
        </w:rPr>
      </w:pPr>
    </w:p>
    <w:p w14:paraId="59E758A7" w14:textId="77777777" w:rsidR="007E5BF0" w:rsidRPr="004B526C" w:rsidRDefault="007E5BF0" w:rsidP="007E5BF0">
      <w:pPr>
        <w:rPr>
          <w:rFonts w:cs="Arial"/>
        </w:rPr>
      </w:pPr>
      <w:r w:rsidRPr="004B526C">
        <w:rPr>
          <w:rFonts w:cs="Arial"/>
        </w:rPr>
        <w:t>Commerce has adopted the following provisions for resale requirements as specified in the HOME rule at CFR 92.254(a)(5)(</w:t>
      </w:r>
      <w:proofErr w:type="spellStart"/>
      <w:r w:rsidRPr="004B526C">
        <w:rPr>
          <w:rFonts w:cs="Arial"/>
        </w:rPr>
        <w:t>i</w:t>
      </w:r>
      <w:proofErr w:type="spellEnd"/>
      <w:r w:rsidRPr="004B526C">
        <w:rPr>
          <w:rFonts w:cs="Arial"/>
        </w:rPr>
        <w:t>). Under these resale provisions, Commerce will ensure that when a HOME-assisted homebuyer sells his or her property, either voluntarily or involuntarily, during the period of affordability, the following will apply:</w:t>
      </w:r>
    </w:p>
    <w:p w14:paraId="1B40F774" w14:textId="77777777" w:rsidR="007E5BF0" w:rsidRDefault="007E5BF0" w:rsidP="007E5BF0">
      <w:pPr>
        <w:pStyle w:val="ListParagraph"/>
        <w:numPr>
          <w:ilvl w:val="0"/>
          <w:numId w:val="13"/>
        </w:numPr>
        <w:rPr>
          <w:rFonts w:cs="Arial"/>
        </w:rPr>
      </w:pPr>
      <w:r w:rsidRPr="004B526C">
        <w:rPr>
          <w:rFonts w:cs="Arial"/>
        </w:rPr>
        <w:t xml:space="preserve">The property is sold to an eligible low-income household who will use the property as his or her principal residence through the period of </w:t>
      </w:r>
      <w:proofErr w:type="gramStart"/>
      <w:r w:rsidRPr="004B526C">
        <w:rPr>
          <w:rFonts w:cs="Arial"/>
        </w:rPr>
        <w:t>affordability;</w:t>
      </w:r>
      <w:proofErr w:type="gramEnd"/>
    </w:p>
    <w:p w14:paraId="2661EF7D" w14:textId="77777777" w:rsidR="007E5BF0" w:rsidRDefault="007E5BF0" w:rsidP="007E5BF0">
      <w:pPr>
        <w:pStyle w:val="ListParagraph"/>
        <w:numPr>
          <w:ilvl w:val="0"/>
          <w:numId w:val="13"/>
        </w:numPr>
        <w:rPr>
          <w:rFonts w:cs="Arial"/>
        </w:rPr>
      </w:pPr>
      <w:r w:rsidRPr="004B526C">
        <w:rPr>
          <w:rFonts w:cs="Arial"/>
        </w:rPr>
        <w:t>The original homebuyer receives a fair return on investment, (i.e., the homebuyer’s down payment (if any is made at the time of purchase) plus capital improvements made to the house); and</w:t>
      </w:r>
    </w:p>
    <w:p w14:paraId="162D59CA" w14:textId="77777777" w:rsidR="007E5BF0" w:rsidRPr="004B526C" w:rsidRDefault="007E5BF0" w:rsidP="007E5BF0">
      <w:pPr>
        <w:pStyle w:val="ListParagraph"/>
        <w:numPr>
          <w:ilvl w:val="0"/>
          <w:numId w:val="13"/>
        </w:numPr>
        <w:rPr>
          <w:rFonts w:cs="Arial"/>
        </w:rPr>
      </w:pPr>
      <w:r w:rsidRPr="004B526C">
        <w:rPr>
          <w:rFonts w:cs="Arial"/>
        </w:rPr>
        <w:t>The property is sold at a price that is “affordable to a reasonable range of low-income buyers.”</w:t>
      </w:r>
    </w:p>
    <w:p w14:paraId="64DA69E1" w14:textId="77777777" w:rsidR="007E5BF0" w:rsidRPr="004B526C" w:rsidRDefault="007E5BF0" w:rsidP="007E5BF0">
      <w:pPr>
        <w:rPr>
          <w:rFonts w:cs="Arial"/>
        </w:rPr>
      </w:pPr>
    </w:p>
    <w:p w14:paraId="2A1CD23A" w14:textId="77777777" w:rsidR="007E5BF0" w:rsidRPr="004B526C" w:rsidRDefault="007E5BF0" w:rsidP="007E5BF0">
      <w:pPr>
        <w:rPr>
          <w:rFonts w:cs="Arial"/>
          <w:i/>
          <w:iCs/>
        </w:rPr>
      </w:pPr>
      <w:r w:rsidRPr="004B526C">
        <w:rPr>
          <w:rFonts w:cs="Arial"/>
          <w:i/>
          <w:iCs/>
        </w:rPr>
        <w:t>Ensuring Long Term Affordability</w:t>
      </w:r>
    </w:p>
    <w:p w14:paraId="2EB9CDB8" w14:textId="77777777" w:rsidR="007E5BF0" w:rsidRPr="004B526C" w:rsidRDefault="007E5BF0" w:rsidP="007E5BF0">
      <w:pPr>
        <w:rPr>
          <w:rFonts w:cs="Arial"/>
        </w:rPr>
      </w:pPr>
      <w:r w:rsidRPr="004B526C">
        <w:rPr>
          <w:rFonts w:cs="Arial"/>
        </w:rPr>
        <w:t>If the housing is transferred, voluntarily or otherwise, during the period of affordability, it must be made available for subsequent purchase only to another buyer whose household qualifies as low income and will use the proper</w:t>
      </w:r>
      <w:r>
        <w:rPr>
          <w:rFonts w:cs="Arial"/>
        </w:rPr>
        <w:t xml:space="preserve">ty as its principal residence. </w:t>
      </w:r>
      <w:r w:rsidRPr="004B526C">
        <w:rPr>
          <w:rFonts w:cs="Arial"/>
        </w:rPr>
        <w:t>To qualify as low-income, a household’s income must be below 80% AMI. An organization awarded HOME funds for housing development must enforce th</w:t>
      </w:r>
      <w:r>
        <w:rPr>
          <w:rFonts w:cs="Arial"/>
        </w:rPr>
        <w:t>ese affordability requirements.</w:t>
      </w:r>
    </w:p>
    <w:p w14:paraId="2915CCBC" w14:textId="77777777" w:rsidR="007E5BF0" w:rsidRPr="004B526C" w:rsidRDefault="007E5BF0" w:rsidP="007E5BF0">
      <w:pPr>
        <w:rPr>
          <w:rFonts w:cs="Arial"/>
        </w:rPr>
      </w:pPr>
    </w:p>
    <w:p w14:paraId="445C0750" w14:textId="77777777" w:rsidR="007E5BF0" w:rsidRPr="004B526C" w:rsidRDefault="007E5BF0" w:rsidP="007E5BF0">
      <w:pPr>
        <w:rPr>
          <w:rFonts w:cs="Arial"/>
          <w:i/>
          <w:iCs/>
        </w:rPr>
      </w:pPr>
      <w:r w:rsidRPr="004B526C">
        <w:rPr>
          <w:rFonts w:cs="Arial"/>
          <w:i/>
          <w:iCs/>
        </w:rPr>
        <w:t>Fair Return on Investment</w:t>
      </w:r>
    </w:p>
    <w:p w14:paraId="199158B0" w14:textId="77777777" w:rsidR="007E5BF0" w:rsidRPr="004B526C" w:rsidRDefault="007E5BF0" w:rsidP="007E5BF0">
      <w:pPr>
        <w:rPr>
          <w:rFonts w:cs="Arial"/>
        </w:rPr>
      </w:pPr>
      <w:r w:rsidRPr="004B526C">
        <w:rPr>
          <w:rFonts w:cs="Arial"/>
        </w:rPr>
        <w:t xml:space="preserve">If a home is sold during the period of affordability, the price at resale must provide the original HOME-assisted </w:t>
      </w:r>
      <w:proofErr w:type="gramStart"/>
      <w:r w:rsidRPr="004B526C">
        <w:rPr>
          <w:rFonts w:cs="Arial"/>
        </w:rPr>
        <w:t>homebuye</w:t>
      </w:r>
      <w:r>
        <w:rPr>
          <w:rFonts w:cs="Arial"/>
        </w:rPr>
        <w:t>r</w:t>
      </w:r>
      <w:proofErr w:type="gramEnd"/>
      <w:r>
        <w:rPr>
          <w:rFonts w:cs="Arial"/>
        </w:rPr>
        <w:t xml:space="preserve"> a fair return on investment. </w:t>
      </w:r>
      <w:r w:rsidRPr="004B526C">
        <w:rPr>
          <w:rFonts w:cs="Arial"/>
        </w:rPr>
        <w:t>Net proceeds (after senior debt and sales costs) to the seller shall not exceed the sum of:</w:t>
      </w:r>
    </w:p>
    <w:p w14:paraId="78041C7E" w14:textId="77777777" w:rsidR="007E5BF0" w:rsidRDefault="007E5BF0" w:rsidP="007E5BF0">
      <w:pPr>
        <w:pStyle w:val="ListParagraph"/>
        <w:numPr>
          <w:ilvl w:val="0"/>
          <w:numId w:val="14"/>
        </w:numPr>
        <w:rPr>
          <w:rFonts w:cs="Arial"/>
        </w:rPr>
      </w:pPr>
      <w:r w:rsidRPr="004B526C">
        <w:rPr>
          <w:rFonts w:cs="Arial"/>
        </w:rPr>
        <w:t>The reimbursement of the original owner</w:t>
      </w:r>
      <w:r>
        <w:rPr>
          <w:rFonts w:cs="Arial"/>
        </w:rPr>
        <w:t>’</w:t>
      </w:r>
      <w:r w:rsidRPr="004B526C">
        <w:rPr>
          <w:rFonts w:cs="Arial"/>
        </w:rPr>
        <w:t xml:space="preserve">s down payment and/or closing costs made at the time of initial purchase, if </w:t>
      </w:r>
      <w:proofErr w:type="gramStart"/>
      <w:r w:rsidRPr="004B526C">
        <w:rPr>
          <w:rFonts w:cs="Arial"/>
        </w:rPr>
        <w:t>any;</w:t>
      </w:r>
      <w:proofErr w:type="gramEnd"/>
    </w:p>
    <w:p w14:paraId="50C615B1" w14:textId="77777777" w:rsidR="007E5BF0" w:rsidRDefault="007E5BF0" w:rsidP="007E5BF0">
      <w:pPr>
        <w:pStyle w:val="ListParagraph"/>
        <w:numPr>
          <w:ilvl w:val="0"/>
          <w:numId w:val="14"/>
        </w:numPr>
        <w:rPr>
          <w:rFonts w:cs="Arial"/>
        </w:rPr>
      </w:pPr>
      <w:r w:rsidRPr="004B526C">
        <w:rPr>
          <w:rFonts w:cs="Arial"/>
        </w:rPr>
        <w:t xml:space="preserve">The principal paid on the senior debt during the period of </w:t>
      </w:r>
      <w:proofErr w:type="gramStart"/>
      <w:r w:rsidRPr="004B526C">
        <w:rPr>
          <w:rFonts w:cs="Arial"/>
        </w:rPr>
        <w:t>ownership;</w:t>
      </w:r>
      <w:proofErr w:type="gramEnd"/>
    </w:p>
    <w:p w14:paraId="5A3B1452" w14:textId="77777777" w:rsidR="007E5BF0" w:rsidRPr="004B526C" w:rsidRDefault="007E5BF0" w:rsidP="007E5BF0">
      <w:pPr>
        <w:pStyle w:val="ListParagraph"/>
        <w:numPr>
          <w:ilvl w:val="0"/>
          <w:numId w:val="14"/>
        </w:numPr>
        <w:rPr>
          <w:rFonts w:cs="Arial"/>
        </w:rPr>
      </w:pPr>
      <w:r w:rsidRPr="004B526C">
        <w:rPr>
          <w:rFonts w:cs="Arial"/>
        </w:rPr>
        <w:t>The investment in eligible capital improvements defined as any individual improvement made specifically to the structure or major system of the HOME-assisted housing unit in which the cost was more than $3,000 and where applicable, the work was properly permitted, inspected locally</w:t>
      </w:r>
      <w:r>
        <w:rPr>
          <w:rFonts w:cs="Arial"/>
        </w:rPr>
        <w:t>,</w:t>
      </w:r>
      <w:r w:rsidRPr="004B526C">
        <w:rPr>
          <w:rFonts w:cs="Arial"/>
        </w:rPr>
        <w:t xml:space="preserve"> and the actual cost has been documented with third party receipts.</w:t>
      </w:r>
    </w:p>
    <w:p w14:paraId="278772A5" w14:textId="77777777" w:rsidR="007E5BF0" w:rsidRPr="004B526C" w:rsidRDefault="007E5BF0" w:rsidP="007E5BF0">
      <w:pPr>
        <w:rPr>
          <w:rFonts w:cs="Arial"/>
        </w:rPr>
      </w:pPr>
    </w:p>
    <w:p w14:paraId="1245EA27" w14:textId="77777777" w:rsidR="007E5BF0" w:rsidRPr="004B526C" w:rsidRDefault="007E5BF0" w:rsidP="007E5BF0">
      <w:pPr>
        <w:rPr>
          <w:rFonts w:cs="Arial"/>
        </w:rPr>
      </w:pPr>
      <w:r w:rsidRPr="004B526C">
        <w:rPr>
          <w:rFonts w:cs="Arial"/>
        </w:rPr>
        <w:t>The value of the owner</w:t>
      </w:r>
      <w:r>
        <w:rPr>
          <w:rFonts w:cs="Arial"/>
        </w:rPr>
        <w:t>’</w:t>
      </w:r>
      <w:r w:rsidRPr="004B526C">
        <w:rPr>
          <w:rFonts w:cs="Arial"/>
        </w:rPr>
        <w:t>s investment (the sum of 1-3 above) will be adjusted by using the Housing Price Index (HPI) as measured by the Federal Housing Finance Agency. The change in the HPI from the original purchase to the time of sale will be applied to the value of the owner</w:t>
      </w:r>
      <w:r>
        <w:rPr>
          <w:rFonts w:cs="Arial"/>
        </w:rPr>
        <w:t>’</w:t>
      </w:r>
      <w:r w:rsidRPr="004B526C">
        <w:rPr>
          <w:rFonts w:cs="Arial"/>
        </w:rPr>
        <w:t>s investment, so that the value of the investments is increased or decreased by the amount of increase or decrease in the housing market overall.</w:t>
      </w:r>
    </w:p>
    <w:p w14:paraId="1F349537" w14:textId="77777777" w:rsidR="007E5BF0" w:rsidRPr="004B526C" w:rsidRDefault="007E5BF0" w:rsidP="007E5BF0">
      <w:pPr>
        <w:rPr>
          <w:rFonts w:cs="Arial"/>
        </w:rPr>
      </w:pPr>
    </w:p>
    <w:p w14:paraId="3F4D178D" w14:textId="77777777" w:rsidR="007E5BF0" w:rsidRPr="004B526C" w:rsidRDefault="007E5BF0" w:rsidP="007E5BF0">
      <w:pPr>
        <w:rPr>
          <w:rFonts w:cs="Arial"/>
          <w:i/>
          <w:iCs/>
        </w:rPr>
      </w:pPr>
      <w:r w:rsidRPr="004B526C">
        <w:rPr>
          <w:rFonts w:cs="Arial"/>
          <w:i/>
          <w:iCs/>
        </w:rPr>
        <w:t>Continued Affordability</w:t>
      </w:r>
    </w:p>
    <w:p w14:paraId="46AEA83A" w14:textId="77777777" w:rsidR="00056F47" w:rsidRDefault="007E5BF0" w:rsidP="007E5BF0">
      <w:pPr>
        <w:rPr>
          <w:rFonts w:cs="Arial"/>
        </w:rPr>
      </w:pPr>
      <w:r w:rsidRPr="004B526C">
        <w:rPr>
          <w:rFonts w:cs="Arial"/>
        </w:rPr>
        <w:t xml:space="preserve">In addition to ensuring that the HOME-assisted homebuyer receives a fair return on investment, the entities will ensure that the housing under a resale provision will remain affordable to a reasonable range of low-income homebuyers. The sales price may not exceed a price that is affordable to households with incomes at or below 80% </w:t>
      </w:r>
      <w:r>
        <w:rPr>
          <w:rFonts w:cs="Arial"/>
        </w:rPr>
        <w:t xml:space="preserve">AMI. </w:t>
      </w:r>
      <w:r w:rsidRPr="004B526C">
        <w:rPr>
          <w:rFonts w:cs="Arial"/>
        </w:rPr>
        <w:t>To be affordable, a household would be expected to pay no more than 32% of its monthly income for mortgage principal and interest, proper</w:t>
      </w:r>
      <w:r>
        <w:rPr>
          <w:rFonts w:cs="Arial"/>
        </w:rPr>
        <w:t xml:space="preserve">ty taxes, and insurance. </w:t>
      </w:r>
      <w:r w:rsidRPr="004B526C">
        <w:rPr>
          <w:rFonts w:cs="Arial"/>
        </w:rPr>
        <w:t>And in no case could the price exceed the HOME Program purchase price limits as defined by HUD</w:t>
      </w:r>
      <w:r>
        <w:rPr>
          <w:rFonts w:cs="Arial"/>
        </w:rPr>
        <w:t xml:space="preserve"> and provided on Commerce’s web</w:t>
      </w:r>
      <w:r w:rsidRPr="004B526C">
        <w:rPr>
          <w:rFonts w:cs="Arial"/>
        </w:rPr>
        <w:t>site.</w:t>
      </w:r>
    </w:p>
    <w:p w14:paraId="0B8D5B63" w14:textId="40C0FCCA" w:rsidR="007E5BF0" w:rsidRPr="004B526C" w:rsidRDefault="007E5BF0" w:rsidP="007E5BF0">
      <w:pPr>
        <w:rPr>
          <w:rFonts w:cs="Arial"/>
        </w:rPr>
      </w:pPr>
      <w:r>
        <w:rPr>
          <w:rFonts w:cs="Arial"/>
        </w:rPr>
        <w:t xml:space="preserve"> </w:t>
      </w:r>
    </w:p>
    <w:p w14:paraId="48F78C4D" w14:textId="77777777" w:rsidR="007E5BF0" w:rsidRPr="004B526C" w:rsidRDefault="007E5BF0" w:rsidP="007E5BF0">
      <w:pPr>
        <w:pStyle w:val="ListParagraph"/>
        <w:numPr>
          <w:ilvl w:val="0"/>
          <w:numId w:val="12"/>
        </w:numPr>
        <w:rPr>
          <w:rFonts w:cs="Arial"/>
          <w:b/>
          <w:bCs/>
        </w:rPr>
      </w:pPr>
      <w:r w:rsidRPr="004B526C">
        <w:rPr>
          <w:rFonts w:cs="Arial"/>
          <w:b/>
          <w:bCs/>
        </w:rPr>
        <w:t>Recapture Provisions</w:t>
      </w:r>
      <w:r>
        <w:rPr>
          <w:rFonts w:cs="Arial"/>
          <w:b/>
          <w:bCs/>
        </w:rPr>
        <w:t xml:space="preserve"> </w:t>
      </w:r>
    </w:p>
    <w:p w14:paraId="5BCE4DAC" w14:textId="77777777" w:rsidR="007E5BF0" w:rsidRPr="004B526C" w:rsidRDefault="007E5BF0" w:rsidP="007E5BF0">
      <w:pPr>
        <w:rPr>
          <w:rFonts w:cs="Arial"/>
        </w:rPr>
      </w:pPr>
    </w:p>
    <w:p w14:paraId="1486A850" w14:textId="77777777" w:rsidR="007E5BF0" w:rsidRPr="004B526C" w:rsidRDefault="007E5BF0" w:rsidP="007E5BF0">
      <w:pPr>
        <w:rPr>
          <w:rFonts w:cs="Arial"/>
          <w:i/>
          <w:iCs/>
        </w:rPr>
      </w:pPr>
      <w:r w:rsidRPr="004B526C">
        <w:rPr>
          <w:rFonts w:cs="Arial"/>
          <w:i/>
          <w:iCs/>
        </w:rPr>
        <w:lastRenderedPageBreak/>
        <w:t>Direct HOME Subsidy/Amount Subject to Recapture</w:t>
      </w:r>
    </w:p>
    <w:p w14:paraId="0CF3BCF6" w14:textId="77777777" w:rsidR="007E5BF0" w:rsidRPr="004B526C" w:rsidRDefault="007E5BF0" w:rsidP="007E5BF0">
      <w:pPr>
        <w:rPr>
          <w:rFonts w:cs="Arial"/>
        </w:rPr>
      </w:pPr>
      <w:r w:rsidRPr="004B526C">
        <w:rPr>
          <w:rFonts w:cs="Arial"/>
        </w:rPr>
        <w:t xml:space="preserve">Commerce has adopted the following provisions for recapture as specified by 24 CFR 92.254 that are outlined in the HOME regulations and in CPD notice 12-003. Homebuyers assisted under HOME will be required to adhere to recapture guidelines applied to their home. An organization awarded HOME funds </w:t>
      </w:r>
      <w:r>
        <w:rPr>
          <w:rFonts w:cs="Arial"/>
        </w:rPr>
        <w:t>(the “s</w:t>
      </w:r>
      <w:r w:rsidRPr="004B526C">
        <w:rPr>
          <w:rFonts w:cs="Arial"/>
        </w:rPr>
        <w:t xml:space="preserve">ubrecipient”) for homebuyer assistance will be instructed to use the recapture method and must submit their policy for the applicable recapture method if a home is sold during the period of affordability, to include: </w:t>
      </w:r>
    </w:p>
    <w:p w14:paraId="7DA4F02C" w14:textId="77777777" w:rsidR="007E5BF0" w:rsidRDefault="007E5BF0" w:rsidP="007E5BF0">
      <w:pPr>
        <w:pStyle w:val="ListParagraph"/>
        <w:numPr>
          <w:ilvl w:val="0"/>
          <w:numId w:val="15"/>
        </w:numPr>
        <w:rPr>
          <w:rFonts w:cs="Arial"/>
        </w:rPr>
      </w:pPr>
      <w:r w:rsidRPr="004B526C">
        <w:rPr>
          <w:rFonts w:cs="Arial"/>
        </w:rPr>
        <w:t xml:space="preserve">Recapture of the entire direct HOME subsidy; and </w:t>
      </w:r>
    </w:p>
    <w:p w14:paraId="3B9EBAC6" w14:textId="77777777" w:rsidR="007E5BF0" w:rsidRPr="004B526C" w:rsidRDefault="007E5BF0" w:rsidP="007E5BF0">
      <w:pPr>
        <w:pStyle w:val="ListParagraph"/>
        <w:numPr>
          <w:ilvl w:val="0"/>
          <w:numId w:val="15"/>
        </w:numPr>
        <w:rPr>
          <w:rFonts w:cs="Arial"/>
        </w:rPr>
      </w:pPr>
      <w:r w:rsidRPr="004B526C">
        <w:rPr>
          <w:rFonts w:cs="Arial"/>
        </w:rPr>
        <w:t>Owner</w:t>
      </w:r>
      <w:r>
        <w:rPr>
          <w:rFonts w:cs="Arial"/>
        </w:rPr>
        <w:t xml:space="preserve"> investment is returned first.</w:t>
      </w:r>
    </w:p>
    <w:p w14:paraId="53702242" w14:textId="77777777" w:rsidR="007E5BF0" w:rsidRPr="004B526C" w:rsidRDefault="007E5BF0" w:rsidP="007E5BF0">
      <w:pPr>
        <w:rPr>
          <w:rFonts w:cs="Arial"/>
        </w:rPr>
      </w:pPr>
      <w:r w:rsidRPr="004B526C">
        <w:rPr>
          <w:rFonts w:cs="Arial"/>
        </w:rPr>
        <w:t xml:space="preserve"> </w:t>
      </w:r>
    </w:p>
    <w:p w14:paraId="0FDF2023" w14:textId="77777777" w:rsidR="007E5BF0" w:rsidRPr="004B526C" w:rsidRDefault="007E5BF0" w:rsidP="007E5BF0">
      <w:pPr>
        <w:rPr>
          <w:rFonts w:cs="Arial"/>
        </w:rPr>
      </w:pPr>
      <w:r w:rsidRPr="004B526C">
        <w:rPr>
          <w:rFonts w:cs="Arial"/>
        </w:rPr>
        <w:t xml:space="preserve">Commerce may also adopt recapture provisions that differ from the model provisions in the HOME regulations. The </w:t>
      </w:r>
      <w:proofErr w:type="gramStart"/>
      <w:r w:rsidRPr="004B526C">
        <w:rPr>
          <w:rFonts w:cs="Arial"/>
        </w:rPr>
        <w:t>particular recapture</w:t>
      </w:r>
      <w:proofErr w:type="gramEnd"/>
      <w:r w:rsidRPr="004B526C">
        <w:rPr>
          <w:rFonts w:cs="Arial"/>
        </w:rPr>
        <w:t xml:space="preserve"> provision adopted (whether one of the models or an alternate approach) requires an amendment to the AAP</w:t>
      </w:r>
      <w:r>
        <w:rPr>
          <w:rFonts w:cs="Arial"/>
        </w:rPr>
        <w:t xml:space="preserve"> </w:t>
      </w:r>
      <w:r w:rsidRPr="004B526C">
        <w:rPr>
          <w:rFonts w:cs="Arial"/>
        </w:rPr>
        <w:t>and HUD approval.</w:t>
      </w:r>
      <w:r>
        <w:rPr>
          <w:rFonts w:cs="Arial"/>
        </w:rPr>
        <w:t xml:space="preserve"> </w:t>
      </w:r>
    </w:p>
    <w:p w14:paraId="7DE0903D" w14:textId="77777777" w:rsidR="007E5BF0" w:rsidRPr="004B526C" w:rsidRDefault="007E5BF0" w:rsidP="007E5BF0">
      <w:pPr>
        <w:rPr>
          <w:rFonts w:cs="Arial"/>
        </w:rPr>
      </w:pPr>
      <w:r w:rsidRPr="004B526C">
        <w:rPr>
          <w:rFonts w:cs="Arial"/>
        </w:rPr>
        <w:t xml:space="preserve"> </w:t>
      </w:r>
    </w:p>
    <w:p w14:paraId="2B0A76D6" w14:textId="77777777" w:rsidR="007E5BF0" w:rsidRPr="004B526C" w:rsidRDefault="007E5BF0" w:rsidP="007E5BF0">
      <w:pPr>
        <w:rPr>
          <w:rFonts w:cs="Arial"/>
        </w:rPr>
      </w:pPr>
      <w:r w:rsidRPr="004B526C">
        <w:rPr>
          <w:rFonts w:cs="Arial"/>
        </w:rPr>
        <w:t xml:space="preserve">Commerce or an entity can never recapture more than the amount of available net proceeds upon voluntary or involuntary sale or transaction changing ownership, unless noncompliance has occurred. Net proceeds </w:t>
      </w:r>
      <w:proofErr w:type="gramStart"/>
      <w:r w:rsidRPr="004B526C">
        <w:rPr>
          <w:rFonts w:cs="Arial"/>
        </w:rPr>
        <w:t>is</w:t>
      </w:r>
      <w:proofErr w:type="gramEnd"/>
      <w:r w:rsidRPr="004B526C">
        <w:rPr>
          <w:rFonts w:cs="Arial"/>
        </w:rPr>
        <w:t xml:space="preserve"> defined as the sale price of the home minus the superior loan repayment (not including HOME loans) and any closing costs. If the amount to be recaptured is more than the net proceeds (i.e., foreclosure or declining housing markets) the seller would be required to repay the balance of the net proceeds, which could be less than the</w:t>
      </w:r>
      <w:r>
        <w:rPr>
          <w:rFonts w:cs="Arial"/>
        </w:rPr>
        <w:t xml:space="preserve"> original HOME direct subsidy.</w:t>
      </w:r>
    </w:p>
    <w:p w14:paraId="4B7DC130" w14:textId="77777777" w:rsidR="007E5BF0" w:rsidRPr="004B526C" w:rsidRDefault="007E5BF0" w:rsidP="007E5BF0">
      <w:pPr>
        <w:rPr>
          <w:rFonts w:cs="Arial"/>
        </w:rPr>
      </w:pPr>
      <w:r w:rsidRPr="004B526C">
        <w:rPr>
          <w:rFonts w:cs="Arial"/>
        </w:rPr>
        <w:t xml:space="preserve"> </w:t>
      </w:r>
    </w:p>
    <w:p w14:paraId="32693949" w14:textId="77777777" w:rsidR="007E5BF0" w:rsidRPr="004B526C" w:rsidRDefault="007E5BF0" w:rsidP="007E5BF0">
      <w:pPr>
        <w:rPr>
          <w:rFonts w:cs="Arial"/>
          <w:i/>
          <w:iCs/>
        </w:rPr>
      </w:pPr>
      <w:r w:rsidRPr="004B526C">
        <w:rPr>
          <w:rFonts w:cs="Arial"/>
          <w:i/>
          <w:iCs/>
        </w:rPr>
        <w:t>Recapture of the Entire Direct HOME Subsidy</w:t>
      </w:r>
    </w:p>
    <w:p w14:paraId="09C7801D" w14:textId="77777777" w:rsidR="007E5BF0" w:rsidRPr="004B526C" w:rsidRDefault="007E5BF0" w:rsidP="007E5BF0">
      <w:pPr>
        <w:rPr>
          <w:rFonts w:cs="Arial"/>
        </w:rPr>
      </w:pPr>
      <w:r w:rsidRPr="004B526C">
        <w:rPr>
          <w:rFonts w:cs="Arial"/>
        </w:rPr>
        <w:t xml:space="preserve">The following are the conditions under which Commerce will enforce the use of recapture of the </w:t>
      </w:r>
      <w:r>
        <w:rPr>
          <w:rFonts w:cs="Arial"/>
        </w:rPr>
        <w:t>e</w:t>
      </w:r>
      <w:r w:rsidRPr="004B526C">
        <w:rPr>
          <w:rFonts w:cs="Arial"/>
        </w:rPr>
        <w:t xml:space="preserve">ntire </w:t>
      </w:r>
      <w:r>
        <w:rPr>
          <w:rFonts w:cs="Arial"/>
        </w:rPr>
        <w:t>direct HOME s</w:t>
      </w:r>
      <w:r w:rsidRPr="004B526C">
        <w:rPr>
          <w:rFonts w:cs="Arial"/>
        </w:rPr>
        <w:t>ubsidy as a recapture provision. In this recapture provision, Commerce or the entity recaptures the entire amount of HOME subsidy provided to the homebuyer before the household receives proceeds from the sale of the property. This recapture is limited to the net proceeds available from the voluntary or involuntary sale or transaction changing ownership durin</w:t>
      </w:r>
      <w:r>
        <w:rPr>
          <w:rFonts w:cs="Arial"/>
        </w:rPr>
        <w:t>g the period of affordability.</w:t>
      </w:r>
    </w:p>
    <w:p w14:paraId="458A7CCD" w14:textId="77777777" w:rsidR="007E5BF0" w:rsidRPr="004B526C" w:rsidRDefault="007E5BF0" w:rsidP="007E5BF0">
      <w:pPr>
        <w:rPr>
          <w:rFonts w:cs="Arial"/>
        </w:rPr>
      </w:pPr>
      <w:r w:rsidRPr="004B526C">
        <w:rPr>
          <w:rFonts w:cs="Arial"/>
        </w:rPr>
        <w:t xml:space="preserve"> </w:t>
      </w:r>
    </w:p>
    <w:p w14:paraId="6CE29B03" w14:textId="77777777" w:rsidR="007E5BF0" w:rsidRPr="004B526C" w:rsidRDefault="007E5BF0" w:rsidP="007E5BF0">
      <w:pPr>
        <w:rPr>
          <w:rFonts w:cs="Arial"/>
        </w:rPr>
      </w:pPr>
      <w:r w:rsidRPr="004B526C">
        <w:rPr>
          <w:rFonts w:cs="Arial"/>
        </w:rPr>
        <w:t xml:space="preserve">This recapture provision will be enforced in the event of a voluntary or involuntary sale or transaction changing ownership that occurs during the period of affordability years </w:t>
      </w:r>
      <w:r>
        <w:rPr>
          <w:rFonts w:cs="Arial"/>
        </w:rPr>
        <w:t>0</w:t>
      </w:r>
      <w:r w:rsidRPr="004B526C">
        <w:rPr>
          <w:rFonts w:cs="Arial"/>
        </w:rPr>
        <w:t xml:space="preserve"> through 9, as applicable to </w:t>
      </w:r>
      <w:r w:rsidRPr="00147BA5">
        <w:rPr>
          <w:rFonts w:cs="Arial"/>
          <w:b/>
        </w:rPr>
        <w:t>Table AP-</w:t>
      </w:r>
      <w:r>
        <w:rPr>
          <w:rFonts w:cs="Arial"/>
          <w:b/>
        </w:rPr>
        <w:t>4</w:t>
      </w:r>
      <w:r w:rsidRPr="004B526C">
        <w:rPr>
          <w:rFonts w:cs="Arial"/>
        </w:rPr>
        <w:t>. Enforcement of the recapture provision that occurs during the period of affordability year</w:t>
      </w:r>
      <w:r>
        <w:rPr>
          <w:rFonts w:cs="Arial"/>
        </w:rPr>
        <w:t>s</w:t>
      </w:r>
      <w:r w:rsidRPr="004B526C">
        <w:rPr>
          <w:rFonts w:cs="Arial"/>
        </w:rPr>
        <w:t xml:space="preserve"> 10 through 15 (see </w:t>
      </w:r>
      <w:r w:rsidRPr="00147BA5">
        <w:rPr>
          <w:rFonts w:cs="Arial"/>
          <w:b/>
        </w:rPr>
        <w:t>Table AP-</w:t>
      </w:r>
      <w:r>
        <w:rPr>
          <w:rFonts w:cs="Arial"/>
          <w:b/>
        </w:rPr>
        <w:t>4</w:t>
      </w:r>
      <w:r w:rsidRPr="004B526C">
        <w:rPr>
          <w:rFonts w:cs="Arial"/>
        </w:rPr>
        <w:t xml:space="preserve">) will follow the recapture provision </w:t>
      </w:r>
      <w:r>
        <w:rPr>
          <w:rFonts w:cs="Arial"/>
        </w:rPr>
        <w:t>o</w:t>
      </w:r>
      <w:r w:rsidRPr="004B526C">
        <w:rPr>
          <w:rFonts w:cs="Arial"/>
        </w:rPr>
        <w:t>wner</w:t>
      </w:r>
      <w:r>
        <w:rPr>
          <w:rFonts w:cs="Arial"/>
        </w:rPr>
        <w:t xml:space="preserve"> investment is returned first. </w:t>
      </w:r>
      <w:r w:rsidRPr="004B526C">
        <w:rPr>
          <w:rFonts w:cs="Arial"/>
        </w:rPr>
        <w:t>If the period of affordability is less than 10 years, recapture of the entire direct HOME subsidy will only be used</w:t>
      </w:r>
      <w:r>
        <w:rPr>
          <w:rFonts w:cs="Arial"/>
        </w:rPr>
        <w:t>;</w:t>
      </w:r>
      <w:r w:rsidRPr="004B526C">
        <w:rPr>
          <w:rFonts w:cs="Arial"/>
        </w:rPr>
        <w:t xml:space="preserve"> no other recapture provision will be permitted. This will be enforced through the written agreement with the household. </w:t>
      </w:r>
    </w:p>
    <w:p w14:paraId="4C61BA6D" w14:textId="77777777" w:rsidR="007E5BF0" w:rsidRPr="004B526C" w:rsidRDefault="007E5BF0" w:rsidP="007E5BF0">
      <w:pPr>
        <w:rPr>
          <w:rFonts w:cs="Arial"/>
        </w:rPr>
      </w:pPr>
      <w:r w:rsidRPr="004B526C">
        <w:rPr>
          <w:rFonts w:cs="Arial"/>
        </w:rPr>
        <w:t xml:space="preserve"> </w:t>
      </w:r>
    </w:p>
    <w:p w14:paraId="5C39B6A5" w14:textId="77777777" w:rsidR="007E5BF0" w:rsidRPr="004B526C" w:rsidRDefault="007E5BF0" w:rsidP="007E5BF0">
      <w:pPr>
        <w:rPr>
          <w:rFonts w:cs="Arial"/>
        </w:rPr>
      </w:pPr>
      <w:r w:rsidRPr="004B526C">
        <w:rPr>
          <w:rFonts w:cs="Arial"/>
        </w:rPr>
        <w:t>As an example, if the assisted unit received $12,000 in HOME assistance and the unit is voluntarily or involuntarily sold or a transaction changing ownership has occurred during year 4, the entire direct HOME subsidy ($12,000) would need to be repaid according to</w:t>
      </w:r>
      <w:r>
        <w:rPr>
          <w:rFonts w:cs="Arial"/>
        </w:rPr>
        <w:t xml:space="preserve"> the net proceeds calculation. </w:t>
      </w:r>
      <w:r w:rsidRPr="004B526C">
        <w:rPr>
          <w:rFonts w:cs="Arial"/>
        </w:rPr>
        <w:t xml:space="preserve">If the assisted unit received $42,000 in HOME assistance and the unit is voluntarily or involuntarily sold or a transaction changing ownership has occurred during year 11, the </w:t>
      </w:r>
      <w:r>
        <w:rPr>
          <w:rFonts w:cs="Arial"/>
        </w:rPr>
        <w:t>e</w:t>
      </w:r>
      <w:r w:rsidRPr="004B526C">
        <w:rPr>
          <w:rFonts w:cs="Arial"/>
        </w:rPr>
        <w:t xml:space="preserve">ntire </w:t>
      </w:r>
      <w:r>
        <w:rPr>
          <w:rFonts w:cs="Arial"/>
        </w:rPr>
        <w:t>d</w:t>
      </w:r>
      <w:r w:rsidRPr="004B526C">
        <w:rPr>
          <w:rFonts w:cs="Arial"/>
        </w:rPr>
        <w:t xml:space="preserve">irect </w:t>
      </w:r>
      <w:r>
        <w:rPr>
          <w:rFonts w:cs="Arial"/>
        </w:rPr>
        <w:t>HOME s</w:t>
      </w:r>
      <w:r w:rsidRPr="004B526C">
        <w:rPr>
          <w:rFonts w:cs="Arial"/>
        </w:rPr>
        <w:t>ubsidy recapture provision woul</w:t>
      </w:r>
      <w:r>
        <w:rPr>
          <w:rFonts w:cs="Arial"/>
        </w:rPr>
        <w:t>d not be triggered, rather the owner investment is returned f</w:t>
      </w:r>
      <w:r w:rsidRPr="004B526C">
        <w:rPr>
          <w:rFonts w:cs="Arial"/>
        </w:rPr>
        <w:t>irst recapture provision would be trigg</w:t>
      </w:r>
      <w:r>
        <w:rPr>
          <w:rFonts w:cs="Arial"/>
        </w:rPr>
        <w:t>ered.</w:t>
      </w:r>
    </w:p>
    <w:p w14:paraId="2D20C9FC" w14:textId="77777777" w:rsidR="007E5BF0" w:rsidRDefault="007E5BF0" w:rsidP="007E5BF0">
      <w:pPr>
        <w:rPr>
          <w:rFonts w:cs="Arial"/>
        </w:rPr>
      </w:pPr>
    </w:p>
    <w:p w14:paraId="16D06598" w14:textId="77777777" w:rsidR="007E5BF0" w:rsidRPr="004B526C" w:rsidRDefault="007E5BF0" w:rsidP="007E5BF0">
      <w:pPr>
        <w:rPr>
          <w:rFonts w:cs="Arial"/>
          <w:i/>
          <w:iCs/>
        </w:rPr>
      </w:pPr>
      <w:r w:rsidRPr="004B526C">
        <w:rPr>
          <w:rFonts w:cs="Arial"/>
          <w:i/>
          <w:iCs/>
        </w:rPr>
        <w:t>Owner Investment Returned First</w:t>
      </w:r>
    </w:p>
    <w:p w14:paraId="53D62600" w14:textId="77777777" w:rsidR="007E5BF0" w:rsidRPr="004B526C" w:rsidRDefault="007E5BF0" w:rsidP="007E5BF0">
      <w:pPr>
        <w:rPr>
          <w:rFonts w:cs="Arial"/>
        </w:rPr>
      </w:pPr>
      <w:r w:rsidRPr="004B526C">
        <w:rPr>
          <w:rFonts w:cs="Arial"/>
        </w:rPr>
        <w:t xml:space="preserve">The following are the conditions under which Commerce will enforce the use of </w:t>
      </w:r>
      <w:proofErr w:type="gramStart"/>
      <w:r>
        <w:rPr>
          <w:rFonts w:cs="Arial"/>
        </w:rPr>
        <w:t>o</w:t>
      </w:r>
      <w:r w:rsidRPr="004B526C">
        <w:rPr>
          <w:rFonts w:cs="Arial"/>
        </w:rPr>
        <w:t>wner</w:t>
      </w:r>
      <w:proofErr w:type="gramEnd"/>
      <w:r w:rsidRPr="004B526C">
        <w:rPr>
          <w:rFonts w:cs="Arial"/>
        </w:rPr>
        <w:t xml:space="preserve"> </w:t>
      </w:r>
      <w:r>
        <w:rPr>
          <w:rFonts w:cs="Arial"/>
        </w:rPr>
        <w:t>i</w:t>
      </w:r>
      <w:r w:rsidRPr="004B526C">
        <w:rPr>
          <w:rFonts w:cs="Arial"/>
        </w:rPr>
        <w:t>nvestment</w:t>
      </w:r>
      <w:r>
        <w:rPr>
          <w:rFonts w:cs="Arial"/>
        </w:rPr>
        <w:t xml:space="preserve"> is</w:t>
      </w:r>
      <w:r w:rsidRPr="004B526C">
        <w:rPr>
          <w:rFonts w:cs="Arial"/>
        </w:rPr>
        <w:t xml:space="preserve"> </w:t>
      </w:r>
      <w:r>
        <w:rPr>
          <w:rFonts w:cs="Arial"/>
        </w:rPr>
        <w:t>r</w:t>
      </w:r>
      <w:r w:rsidRPr="004B526C">
        <w:rPr>
          <w:rFonts w:cs="Arial"/>
        </w:rPr>
        <w:t xml:space="preserve">eturned </w:t>
      </w:r>
      <w:r>
        <w:rPr>
          <w:rFonts w:cs="Arial"/>
        </w:rPr>
        <w:t>f</w:t>
      </w:r>
      <w:r w:rsidRPr="004B526C">
        <w:rPr>
          <w:rFonts w:cs="Arial"/>
        </w:rPr>
        <w:t xml:space="preserve">irst as a recapture provision. In this recapture provision, Commerce or the entity recaptures all </w:t>
      </w:r>
      <w:r w:rsidRPr="004B526C">
        <w:rPr>
          <w:rFonts w:cs="Arial"/>
        </w:rPr>
        <w:lastRenderedPageBreak/>
        <w:t>or a portion of the HOME subsidy provided to the homebuyer but allows the homebuyer to recover their entire investment (down</w:t>
      </w:r>
      <w:r>
        <w:rPr>
          <w:rFonts w:cs="Arial"/>
        </w:rPr>
        <w:t xml:space="preserve"> </w:t>
      </w:r>
      <w:r w:rsidRPr="004B526C">
        <w:rPr>
          <w:rFonts w:cs="Arial"/>
        </w:rPr>
        <w:t>payment and capital improvements made by the owner since the purchase) before re</w:t>
      </w:r>
      <w:r>
        <w:rPr>
          <w:rFonts w:cs="Arial"/>
        </w:rPr>
        <w:t xml:space="preserve">capturing the HOME investment. </w:t>
      </w:r>
      <w:r w:rsidRPr="004B526C">
        <w:rPr>
          <w:rFonts w:cs="Arial"/>
        </w:rPr>
        <w:t>This recapture includes the net proceeds available from the voluntary or involuntary sale or transaction changing ownership during the period of affordability.</w:t>
      </w:r>
      <w:r>
        <w:rPr>
          <w:rFonts w:cs="Arial"/>
        </w:rPr>
        <w:t xml:space="preserve"> </w:t>
      </w:r>
      <w:r w:rsidRPr="004B526C">
        <w:rPr>
          <w:rFonts w:cs="Arial"/>
        </w:rPr>
        <w:t>However, if net proceeds are insufficient, the homebuyer may not receive their entire investment back, and Commerce or the entity may not be able to recapture the full amount due fr</w:t>
      </w:r>
      <w:r>
        <w:rPr>
          <w:rFonts w:cs="Arial"/>
        </w:rPr>
        <w:t>om the net proceeds available.</w:t>
      </w:r>
    </w:p>
    <w:p w14:paraId="597CA72A" w14:textId="77777777" w:rsidR="007E5BF0" w:rsidRPr="004B526C" w:rsidRDefault="007E5BF0" w:rsidP="007E5BF0">
      <w:pPr>
        <w:rPr>
          <w:rFonts w:cs="Arial"/>
        </w:rPr>
      </w:pPr>
    </w:p>
    <w:p w14:paraId="1E25D5F2" w14:textId="77777777" w:rsidR="007E5BF0" w:rsidRPr="004B526C" w:rsidRDefault="007E5BF0" w:rsidP="007E5BF0">
      <w:pPr>
        <w:rPr>
          <w:rFonts w:cs="Arial"/>
        </w:rPr>
      </w:pPr>
      <w:r w:rsidRPr="004B526C">
        <w:rPr>
          <w:rFonts w:cs="Arial"/>
        </w:rPr>
        <w:t>Eligible capital improvements include permanent property improvements that improve or enhance the basic livability or utility of the property but are not normal or recurring maintenance items. The value of capital improvements will be based on the actual costs of the improvements as document</w:t>
      </w:r>
      <w:r>
        <w:rPr>
          <w:rFonts w:cs="Arial"/>
        </w:rPr>
        <w:t>ed by the homeowner’s receipts.</w:t>
      </w:r>
    </w:p>
    <w:p w14:paraId="2C8D56AB" w14:textId="77777777" w:rsidR="007E5BF0" w:rsidRPr="004B526C" w:rsidRDefault="007E5BF0" w:rsidP="007E5BF0">
      <w:pPr>
        <w:rPr>
          <w:rFonts w:cs="Arial"/>
        </w:rPr>
      </w:pPr>
    </w:p>
    <w:p w14:paraId="4542A8F9" w14:textId="77777777" w:rsidR="007E5BF0" w:rsidRPr="004B526C" w:rsidRDefault="007E5BF0" w:rsidP="007E5BF0">
      <w:pPr>
        <w:rPr>
          <w:rFonts w:cs="Arial"/>
        </w:rPr>
      </w:pPr>
      <w:r w:rsidRPr="004B526C">
        <w:rPr>
          <w:rFonts w:cs="Arial"/>
        </w:rPr>
        <w:t>This recapture provision will be enforced in the event of a voluntary or involuntary sale or transaction changing ownership that occurs during the period of affordability years 10 through the minimum yea</w:t>
      </w:r>
      <w:r>
        <w:rPr>
          <w:rFonts w:cs="Arial"/>
        </w:rPr>
        <w:t xml:space="preserve">rs (see </w:t>
      </w:r>
      <w:r w:rsidRPr="00C6528C">
        <w:rPr>
          <w:rFonts w:cs="Arial"/>
          <w:b/>
        </w:rPr>
        <w:t>Table AP-</w:t>
      </w:r>
      <w:r>
        <w:rPr>
          <w:rFonts w:cs="Arial"/>
          <w:b/>
        </w:rPr>
        <w:t>4</w:t>
      </w:r>
      <w:r w:rsidRPr="004B526C">
        <w:rPr>
          <w:rFonts w:cs="Arial"/>
        </w:rPr>
        <w:t xml:space="preserve">) to include owner investment </w:t>
      </w:r>
      <w:r>
        <w:rPr>
          <w:rFonts w:cs="Arial"/>
        </w:rPr>
        <w:t xml:space="preserve">is </w:t>
      </w:r>
      <w:r w:rsidRPr="004B526C">
        <w:rPr>
          <w:rFonts w:cs="Arial"/>
        </w:rPr>
        <w:t>returned first. This will be enforced through the written agreement with the household.</w:t>
      </w:r>
      <w:r>
        <w:rPr>
          <w:rFonts w:cs="Arial"/>
        </w:rPr>
        <w:t xml:space="preserve"> </w:t>
      </w:r>
    </w:p>
    <w:p w14:paraId="295943E8" w14:textId="77777777" w:rsidR="007E5BF0" w:rsidRPr="004B526C" w:rsidRDefault="007E5BF0" w:rsidP="007E5BF0">
      <w:pPr>
        <w:rPr>
          <w:rFonts w:cs="Arial"/>
        </w:rPr>
      </w:pPr>
      <w:r w:rsidRPr="004B526C">
        <w:rPr>
          <w:rFonts w:cs="Arial"/>
        </w:rPr>
        <w:t xml:space="preserve"> </w:t>
      </w:r>
    </w:p>
    <w:p w14:paraId="608EE0E3" w14:textId="77777777" w:rsidR="007E5BF0" w:rsidRPr="004B526C" w:rsidRDefault="007E5BF0" w:rsidP="007E5BF0">
      <w:pPr>
        <w:rPr>
          <w:rFonts w:cs="Arial"/>
        </w:rPr>
      </w:pPr>
      <w:r w:rsidRPr="004B526C">
        <w:rPr>
          <w:rFonts w:cs="Arial"/>
        </w:rPr>
        <w:t>As an example, if the assisted unit received $40,000 and the unit is voluntarily or involuntarily sold or a transaction changing ownership has occurred during year 10, the homebuyer’s investment would be calculated based on the documented capital improvements made during the period of affordability and any investment made during the original sale. This amount would be deducted from the amount to be repaid according to the net proceeds calculation that would be paid to homeowner and Commerce or th</w:t>
      </w:r>
      <w:r>
        <w:rPr>
          <w:rFonts w:cs="Arial"/>
        </w:rPr>
        <w:t>e entity.</w:t>
      </w:r>
    </w:p>
    <w:p w14:paraId="64565ADA" w14:textId="77777777" w:rsidR="007E5BF0" w:rsidRDefault="007E5BF0" w:rsidP="007E5BF0">
      <w:pPr>
        <w:rPr>
          <w:rFonts w:cs="Arial"/>
        </w:rPr>
      </w:pPr>
    </w:p>
    <w:p w14:paraId="5FE836BC" w14:textId="77777777" w:rsidR="007E5BF0" w:rsidRDefault="007E5BF0" w:rsidP="007E5BF0">
      <w:pPr>
        <w:pStyle w:val="Heading4"/>
      </w:pPr>
      <w:r>
        <w:t>4. Plans for using HOME funds to refinance existing debt secured by multifamily housing that is rehabilitated with HOME funds along with a description of the refinancing guidelines required that will be used under 24 CFR 92.206(b), are as follows:</w:t>
      </w:r>
      <w:r>
        <w:rPr>
          <w:i/>
        </w:rPr>
        <w:t xml:space="preserve"> </w:t>
      </w:r>
    </w:p>
    <w:p w14:paraId="6A88A675" w14:textId="77777777" w:rsidR="007E5BF0" w:rsidRDefault="007E5BF0" w:rsidP="007E5BF0">
      <w:r>
        <w:t>Not applicable.</w:t>
      </w:r>
    </w:p>
    <w:p w14:paraId="1766C061" w14:textId="77777777" w:rsidR="007E5BF0" w:rsidRPr="00F32D2E" w:rsidRDefault="007E5BF0" w:rsidP="007E5BF0"/>
    <w:p w14:paraId="5BEF15F7" w14:textId="77777777" w:rsidR="007E5BF0" w:rsidRDefault="007E5BF0" w:rsidP="007E5BF0">
      <w:pPr>
        <w:pStyle w:val="Heading3"/>
      </w:pPr>
      <w:r>
        <w:t xml:space="preserve">Emergency </w:t>
      </w:r>
      <w:r w:rsidRPr="00CE7D1E">
        <w:t>Solutions</w:t>
      </w:r>
      <w:r>
        <w:t xml:space="preserve"> Grant (ESG) </w:t>
      </w:r>
    </w:p>
    <w:p w14:paraId="7E2A7E91" w14:textId="77777777" w:rsidR="007E5BF0" w:rsidRPr="00CE7D1E" w:rsidRDefault="007E5BF0" w:rsidP="007E5BF0">
      <w:pPr>
        <w:pStyle w:val="Heading3"/>
      </w:pPr>
      <w:r w:rsidRPr="00CE7D1E">
        <w:t xml:space="preserve">Reference 91.320(k)(3) </w:t>
      </w:r>
    </w:p>
    <w:p w14:paraId="3F4678B6" w14:textId="77777777" w:rsidR="007E5BF0" w:rsidRPr="007144BD" w:rsidRDefault="007E5BF0" w:rsidP="007E5BF0"/>
    <w:p w14:paraId="0D91B7A9" w14:textId="77777777" w:rsidR="007E5BF0" w:rsidRDefault="007E5BF0" w:rsidP="007E5BF0">
      <w:pPr>
        <w:pStyle w:val="Heading4"/>
        <w:rPr>
          <w:rFonts w:cs="Arial"/>
        </w:rPr>
      </w:pPr>
      <w:r>
        <w:t>1. Include written standards for providing ESG assistance (may include as attachment)</w:t>
      </w:r>
      <w:r>
        <w:rPr>
          <w:i/>
        </w:rPr>
        <w:t xml:space="preserve"> </w:t>
      </w:r>
    </w:p>
    <w:p w14:paraId="2A3F8432" w14:textId="77777777" w:rsidR="007E5BF0" w:rsidRDefault="007E5BF0" w:rsidP="007E5BF0">
      <w:r>
        <w:t>ESG is administered by DPHHS, Intergovernmental Human Services Bureau (IHSB) as part of a statewide plan for ending homelessness in Montana.</w:t>
      </w:r>
    </w:p>
    <w:p w14:paraId="61BF35AC" w14:textId="77777777" w:rsidR="007E5BF0" w:rsidRDefault="007E5BF0" w:rsidP="007E5BF0"/>
    <w:p w14:paraId="7F7AFA92" w14:textId="7019B40C" w:rsidR="007E5BF0" w:rsidRDefault="09BC7A03" w:rsidP="007E5BF0">
      <w:r>
        <w:t xml:space="preserve">Subrecipients </w:t>
      </w:r>
      <w:r w:rsidR="6CFD59CF">
        <w:t xml:space="preserve">receive </w:t>
      </w:r>
      <w:r w:rsidR="01A35B9B">
        <w:t>9</w:t>
      </w:r>
      <w:r w:rsidR="15AA8C36">
        <w:t>2</w:t>
      </w:r>
      <w:r w:rsidR="6CFD59CF">
        <w:t>.5% of the grant funds. DPHHS retains 2.5% for administrative costs</w:t>
      </w:r>
      <w:r w:rsidR="01A35B9B">
        <w:t>.</w:t>
      </w:r>
      <w:r w:rsidR="40BB1E1C">
        <w:t>5% of the grant is retain for HMIS costs.</w:t>
      </w:r>
    </w:p>
    <w:p w14:paraId="2BEBB33E" w14:textId="77777777" w:rsidR="007E5BF0" w:rsidRDefault="007E5BF0" w:rsidP="007E5BF0"/>
    <w:p w14:paraId="0C482346" w14:textId="77777777" w:rsidR="007E5BF0" w:rsidRDefault="007E5BF0" w:rsidP="007E5BF0">
      <w:r>
        <w:t>Overarching Goals and targeting include:</w:t>
      </w:r>
    </w:p>
    <w:p w14:paraId="467DEE6D" w14:textId="77777777" w:rsidR="007E5BF0" w:rsidRDefault="007E5BF0" w:rsidP="007E5BF0">
      <w:pPr>
        <w:pStyle w:val="ListParagraph"/>
        <w:numPr>
          <w:ilvl w:val="0"/>
          <w:numId w:val="16"/>
        </w:numPr>
      </w:pPr>
      <w:r>
        <w:t>Addressing the housing needs of families and individuals at risk of homelessness or facing the possibility of homelessness (Homeless Prevention</w:t>
      </w:r>
      <w:proofErr w:type="gramStart"/>
      <w:r>
        <w:t>);</w:t>
      </w:r>
      <w:proofErr w:type="gramEnd"/>
    </w:p>
    <w:p w14:paraId="683095B3" w14:textId="77777777" w:rsidR="007E5BF0" w:rsidRDefault="007E5BF0" w:rsidP="007E5BF0">
      <w:pPr>
        <w:pStyle w:val="ListParagraph"/>
        <w:numPr>
          <w:ilvl w:val="0"/>
          <w:numId w:val="16"/>
        </w:numPr>
      </w:pPr>
      <w:r>
        <w:t>Increasing the level of assistance programs to families and individuals who are homeless so that they may achieve stable and sustainable housing (Rapid Rehousing); and</w:t>
      </w:r>
    </w:p>
    <w:p w14:paraId="2AEBE685" w14:textId="77777777" w:rsidR="007E5BF0" w:rsidRDefault="007E5BF0" w:rsidP="007E5BF0">
      <w:pPr>
        <w:pStyle w:val="ListParagraph"/>
        <w:numPr>
          <w:ilvl w:val="0"/>
          <w:numId w:val="16"/>
        </w:numPr>
      </w:pPr>
      <w:r>
        <w:t>Providing case management and referral services to families and individuals so they have access to supportive stabilization systems.</w:t>
      </w:r>
    </w:p>
    <w:p w14:paraId="36F744C6" w14:textId="77777777" w:rsidR="007E5BF0" w:rsidRDefault="007E5BF0" w:rsidP="007E5BF0"/>
    <w:p w14:paraId="47162C35" w14:textId="251D1DFB" w:rsidR="007E5BF0" w:rsidRDefault="6CFD59CF" w:rsidP="007E5BF0">
      <w:r>
        <w:lastRenderedPageBreak/>
        <w:t xml:space="preserve">ESG funds are used to meet the needs of the homeless or those at risk of homelessness at the local level. Program components include Homeless Prevention, Rapid Rehousing, HMIS, and limited Emergency Shelter and Street Outreach assistance. Eligible activities include rental assistance, financial assistance for rental application fees, security and utility deposit payments, case management, housing search, support for toll free telephone referral hotlines for victims and survivors of domestic abuse and other homeless individuals and families, referrals to mainstream resources, essential services and shelter maintenance assistance to shelters for the homeless and victims of domestic and sexual violence. All </w:t>
      </w:r>
      <w:r w:rsidR="04FE1779">
        <w:t xml:space="preserve">subrecipients </w:t>
      </w:r>
      <w:r>
        <w:t xml:space="preserve">submit work plans based on local </w:t>
      </w:r>
      <w:proofErr w:type="gramStart"/>
      <w:r>
        <w:t>need</w:t>
      </w:r>
      <w:proofErr w:type="gramEnd"/>
      <w:r>
        <w:t xml:space="preserve"> and priorities, budgets, and reports outlining which of the allowable activities will be undertaken.</w:t>
      </w:r>
    </w:p>
    <w:p w14:paraId="38AAC3A6" w14:textId="77777777" w:rsidR="007E5BF0" w:rsidRDefault="007E5BF0" w:rsidP="007E5BF0"/>
    <w:p w14:paraId="0A207B58" w14:textId="6913F621" w:rsidR="007E5BF0" w:rsidRDefault="007E5BF0" w:rsidP="007E5BF0">
      <w:r>
        <w:t xml:space="preserve">DPHHS works with the </w:t>
      </w:r>
      <w:proofErr w:type="spellStart"/>
      <w:r>
        <w:t>MTCoC</w:t>
      </w:r>
      <w:proofErr w:type="spellEnd"/>
      <w:r>
        <w:t xml:space="preserve"> to leverage resources and provide increased and coordinated services to homeless Montanans across the state. DPHHS aligns its strategy for reducing and ending homelessness with the </w:t>
      </w:r>
      <w:proofErr w:type="spellStart"/>
      <w:r>
        <w:t>MTCoC</w:t>
      </w:r>
      <w:proofErr w:type="spellEnd"/>
      <w:r>
        <w:t xml:space="preserve"> districts. DPHHS and subgrantees of ESG funding participate in </w:t>
      </w:r>
      <w:proofErr w:type="spellStart"/>
      <w:r>
        <w:t>MTCoC</w:t>
      </w:r>
      <w:proofErr w:type="spellEnd"/>
      <w:r>
        <w:t xml:space="preserve"> strategic planning discussions and attend working meetings. The </w:t>
      </w:r>
      <w:proofErr w:type="spellStart"/>
      <w:r>
        <w:t>MTCoC</w:t>
      </w:r>
      <w:proofErr w:type="spellEnd"/>
      <w:r>
        <w:t xml:space="preserve"> prioritizes and ranks homeless projects each year and prepares a consolidated, statewide continuum of care application in response to the NOF</w:t>
      </w:r>
      <w:r w:rsidR="2583FB15">
        <w:t>O</w:t>
      </w:r>
      <w:r>
        <w:t>. Projects originate from local community continuums of care or a state agency. Project approvals are based on performance and capacity criteria as well as local needs and HUD priorities.</w:t>
      </w:r>
    </w:p>
    <w:p w14:paraId="1B288FC0" w14:textId="77777777" w:rsidR="007E5BF0" w:rsidRDefault="007E5BF0" w:rsidP="007E5BF0"/>
    <w:p w14:paraId="7E1F75BD" w14:textId="77777777" w:rsidR="007E5BF0" w:rsidRDefault="007E5BF0" w:rsidP="007E5BF0">
      <w:r>
        <w:t>In this way, the ESG Program requirements are aligned with other formula programs and rental assistance programs to increase efficiency and coordination among the different programs. This framework will maximize community-wide planning and strategic use of resources to:</w:t>
      </w:r>
    </w:p>
    <w:p w14:paraId="17F4CE52" w14:textId="77777777" w:rsidR="007E5BF0" w:rsidRDefault="007E5BF0" w:rsidP="007E5BF0">
      <w:pPr>
        <w:pStyle w:val="ListParagraph"/>
        <w:numPr>
          <w:ilvl w:val="0"/>
          <w:numId w:val="15"/>
        </w:numPr>
      </w:pPr>
      <w:r>
        <w:t xml:space="preserve">Standardize eligibility </w:t>
      </w:r>
      <w:proofErr w:type="gramStart"/>
      <w:r>
        <w:t>determinations;</w:t>
      </w:r>
      <w:proofErr w:type="gramEnd"/>
    </w:p>
    <w:p w14:paraId="259BE09B" w14:textId="77777777" w:rsidR="007E5BF0" w:rsidRDefault="007E5BF0" w:rsidP="007E5BF0">
      <w:pPr>
        <w:pStyle w:val="ListParagraph"/>
        <w:numPr>
          <w:ilvl w:val="0"/>
          <w:numId w:val="15"/>
        </w:numPr>
      </w:pPr>
      <w:r>
        <w:t xml:space="preserve">Prevent and end homelessness through direct funding of the most critical services to help people achieve long-term housing stability and avoid becoming homeless </w:t>
      </w:r>
      <w:proofErr w:type="gramStart"/>
      <w:r>
        <w:t>again;</w:t>
      </w:r>
      <w:proofErr w:type="gramEnd"/>
    </w:p>
    <w:p w14:paraId="6804525A" w14:textId="77777777" w:rsidR="007E5BF0" w:rsidRDefault="007E5BF0" w:rsidP="007E5BF0">
      <w:pPr>
        <w:pStyle w:val="ListParagraph"/>
        <w:numPr>
          <w:ilvl w:val="0"/>
          <w:numId w:val="15"/>
        </w:numPr>
      </w:pPr>
      <w:r>
        <w:t xml:space="preserve">Improve coordination and integration with mainstream services and focus on shortening periods of </w:t>
      </w:r>
      <w:proofErr w:type="gramStart"/>
      <w:r>
        <w:t>homelessness;</w:t>
      </w:r>
      <w:proofErr w:type="gramEnd"/>
    </w:p>
    <w:p w14:paraId="08D841CE" w14:textId="77777777" w:rsidR="007E5BF0" w:rsidRDefault="007E5BF0" w:rsidP="007E5BF0">
      <w:pPr>
        <w:pStyle w:val="ListParagraph"/>
        <w:numPr>
          <w:ilvl w:val="0"/>
          <w:numId w:val="15"/>
        </w:numPr>
      </w:pPr>
      <w:r>
        <w:t xml:space="preserve">Improve coordination within each community’s homeless services including services funded by other programs targeted to homeless </w:t>
      </w:r>
      <w:proofErr w:type="gramStart"/>
      <w:r>
        <w:t>people;</w:t>
      </w:r>
      <w:proofErr w:type="gramEnd"/>
    </w:p>
    <w:p w14:paraId="6B614005" w14:textId="77777777" w:rsidR="007E5BF0" w:rsidRDefault="007E5BF0" w:rsidP="007E5BF0">
      <w:pPr>
        <w:pStyle w:val="ListParagraph"/>
        <w:numPr>
          <w:ilvl w:val="0"/>
          <w:numId w:val="15"/>
        </w:numPr>
      </w:pPr>
      <w:r>
        <w:t xml:space="preserve">Improve targeting of those most in </w:t>
      </w:r>
      <w:proofErr w:type="gramStart"/>
      <w:r>
        <w:t>need;</w:t>
      </w:r>
      <w:proofErr w:type="gramEnd"/>
    </w:p>
    <w:p w14:paraId="0CE1E4E6" w14:textId="77777777" w:rsidR="007E5BF0" w:rsidRDefault="007E5BF0" w:rsidP="007E5BF0">
      <w:pPr>
        <w:pStyle w:val="ListParagraph"/>
        <w:numPr>
          <w:ilvl w:val="0"/>
          <w:numId w:val="15"/>
        </w:numPr>
      </w:pPr>
      <w:r>
        <w:t xml:space="preserve">Improve data collection and performance </w:t>
      </w:r>
      <w:proofErr w:type="gramStart"/>
      <w:r>
        <w:t>measurement;</w:t>
      </w:r>
      <w:proofErr w:type="gramEnd"/>
      <w:r>
        <w:t xml:space="preserve"> </w:t>
      </w:r>
    </w:p>
    <w:p w14:paraId="51170061" w14:textId="77777777" w:rsidR="007E5BF0" w:rsidRDefault="007E5BF0" w:rsidP="007E5BF0">
      <w:pPr>
        <w:pStyle w:val="ListParagraph"/>
        <w:numPr>
          <w:ilvl w:val="0"/>
          <w:numId w:val="15"/>
        </w:numPr>
      </w:pPr>
      <w:r>
        <w:t xml:space="preserve">Allow each community to tailor its program to the </w:t>
      </w:r>
      <w:proofErr w:type="gramStart"/>
      <w:r>
        <w:t>particular strengths</w:t>
      </w:r>
      <w:proofErr w:type="gramEnd"/>
      <w:r>
        <w:t xml:space="preserve"> and challenges within the community; and</w:t>
      </w:r>
    </w:p>
    <w:p w14:paraId="7A76653F" w14:textId="77777777" w:rsidR="007E5BF0" w:rsidRDefault="007E5BF0" w:rsidP="007E5BF0">
      <w:pPr>
        <w:pStyle w:val="ListParagraph"/>
        <w:numPr>
          <w:ilvl w:val="0"/>
          <w:numId w:val="15"/>
        </w:numPr>
      </w:pPr>
      <w:r>
        <w:t>Marshal available resources capitalizing on existing strength and increased efficiency.</w:t>
      </w:r>
    </w:p>
    <w:p w14:paraId="2B172430" w14:textId="77777777" w:rsidR="007E5BF0" w:rsidRDefault="007E5BF0" w:rsidP="007E5BF0"/>
    <w:p w14:paraId="69C6795D" w14:textId="0BECB0B2" w:rsidR="00A42E6F" w:rsidRDefault="007E5BF0" w:rsidP="007E5BF0">
      <w:r>
        <w:t>The specific standards and eligibility guidelines by which subgrantees implement the ESG Program are set forth in Montana’s ESG Policy Manual.</w:t>
      </w:r>
    </w:p>
    <w:p w14:paraId="12434906" w14:textId="77777777" w:rsidR="00535E4E" w:rsidRDefault="00535E4E" w:rsidP="007E5BF0"/>
    <w:p w14:paraId="50324302" w14:textId="09DFCCF5" w:rsidR="007E5BF0" w:rsidRDefault="007E5BF0" w:rsidP="007E5BF0">
      <w:r>
        <w:t xml:space="preserve">The ESG Program Policy Manual is available on the DPHHS website at: </w:t>
      </w:r>
      <w:hyperlink r:id="rId33" w:history="1">
        <w:r w:rsidRPr="00C872A1">
          <w:rPr>
            <w:rStyle w:val="Hyperlink"/>
          </w:rPr>
          <w:t>http://dphhs.mt.gov/Portals/85/hcsd/documents/ESGPolicyManual.pdf</w:t>
        </w:r>
      </w:hyperlink>
      <w:r>
        <w:t>.</w:t>
      </w:r>
    </w:p>
    <w:p w14:paraId="3341910C" w14:textId="77777777" w:rsidR="007E5BF0" w:rsidRPr="007144BD" w:rsidRDefault="007E5BF0" w:rsidP="007E5BF0"/>
    <w:p w14:paraId="756653B8" w14:textId="77777777" w:rsidR="007E5BF0" w:rsidRDefault="007E5BF0" w:rsidP="007E5BF0">
      <w:pPr>
        <w:pStyle w:val="Heading4"/>
        <w:rPr>
          <w:rFonts w:cs="Arial"/>
        </w:rPr>
      </w:pPr>
      <w:r>
        <w:t xml:space="preserve">2. If the Continuum of Care has established </w:t>
      </w:r>
      <w:proofErr w:type="gramStart"/>
      <w:r>
        <w:t>centralized</w:t>
      </w:r>
      <w:proofErr w:type="gramEnd"/>
      <w:r>
        <w:t xml:space="preserve"> or coordinated assessment system that meets HUD requirements, describe that centralized or coordinated assessment system.</w:t>
      </w:r>
      <w:r>
        <w:rPr>
          <w:i/>
        </w:rPr>
        <w:t xml:space="preserve"> </w:t>
      </w:r>
    </w:p>
    <w:p w14:paraId="71A6BC4B" w14:textId="77777777" w:rsidR="007E5BF0" w:rsidRDefault="007E5BF0" w:rsidP="007E5BF0">
      <w:r w:rsidRPr="00A45C1F">
        <w:t xml:space="preserve">Implementation of </w:t>
      </w:r>
      <w:r>
        <w:t>Montana’s</w:t>
      </w:r>
      <w:r w:rsidRPr="00A45C1F">
        <w:t xml:space="preserve"> </w:t>
      </w:r>
      <w:r>
        <w:t>coordinate assessment system, known locally as the Coordinated Entry System (</w:t>
      </w:r>
      <w:r w:rsidRPr="00A45C1F">
        <w:t>CES</w:t>
      </w:r>
      <w:r>
        <w:t>),</w:t>
      </w:r>
      <w:r w:rsidRPr="00A45C1F">
        <w:t xml:space="preserve"> occurred simultaneously with the rollout of a new HMIS; both launched in earnest in September 2018. Earlier versions of CES were largely paper-based</w:t>
      </w:r>
      <w:r>
        <w:t>;</w:t>
      </w:r>
      <w:r w:rsidRPr="00A45C1F">
        <w:t xml:space="preserve"> </w:t>
      </w:r>
      <w:r>
        <w:t>these were</w:t>
      </w:r>
      <w:r w:rsidRPr="00A45C1F">
        <w:t xml:space="preserve"> fully integrated into the new HMIS including a custom built By-Name-List. The </w:t>
      </w:r>
      <w:proofErr w:type="spellStart"/>
      <w:r w:rsidRPr="00A45C1F">
        <w:t>MTCoC</w:t>
      </w:r>
      <w:proofErr w:type="spellEnd"/>
      <w:r w:rsidRPr="00A45C1F">
        <w:t xml:space="preserve"> board designated the new HMIS Vendor and Lead (Pathways MISI) to also be the statewide CES Lead. While the </w:t>
      </w:r>
      <w:proofErr w:type="spellStart"/>
      <w:r>
        <w:t>MT</w:t>
      </w:r>
      <w:r w:rsidRPr="00A45C1F">
        <w:t>CoC</w:t>
      </w:r>
      <w:proofErr w:type="spellEnd"/>
      <w:r w:rsidRPr="00A45C1F">
        <w:t xml:space="preserve"> is struct</w:t>
      </w:r>
      <w:r>
        <w:t>ur</w:t>
      </w:r>
      <w:r w:rsidRPr="00A45C1F">
        <w:t xml:space="preserve">ed around </w:t>
      </w:r>
      <w:r>
        <w:t>12</w:t>
      </w:r>
      <w:r w:rsidRPr="00A45C1F">
        <w:t xml:space="preserve"> districts, CES focuses on hubs</w:t>
      </w:r>
      <w:r>
        <w:t>,</w:t>
      </w:r>
      <w:r w:rsidRPr="00A45C1F">
        <w:t xml:space="preserve"> which are the largest cities or towns in each district. New statewide CES </w:t>
      </w:r>
      <w:r w:rsidRPr="00A45C1F">
        <w:lastRenderedPageBreak/>
        <w:t>Standard Operating Procedures were adopted in August 2018</w:t>
      </w:r>
      <w:r>
        <w:t>,</w:t>
      </w:r>
      <w:r w:rsidRPr="00A45C1F">
        <w:t xml:space="preserve"> and while each district is required to comply with the CES</w:t>
      </w:r>
      <w:r>
        <w:t xml:space="preserve"> Policies and Procedures</w:t>
      </w:r>
      <w:r w:rsidRPr="00A45C1F">
        <w:t xml:space="preserve">, they are free to organize their own front doors and can implement more detailed prioritization policies and case conferencing processes. Monthly local CES Leader roundtables are conducted to facilitate peer learning, and to continue trouble shooting and system improvement. Data Dashboards track inflows, outflows, and destinations by state and community. The HMIS/CES Lead conducts monthly CES data </w:t>
      </w:r>
      <w:r>
        <w:t>quality reports and provides on</w:t>
      </w:r>
      <w:r w:rsidRPr="00A45C1F">
        <w:t>site visits as well as one-on-one consultations.</w:t>
      </w:r>
    </w:p>
    <w:p w14:paraId="24926C3A" w14:textId="77777777" w:rsidR="007E5BF0" w:rsidRDefault="007E5BF0" w:rsidP="007E5BF0"/>
    <w:p w14:paraId="204EC4F7" w14:textId="77777777" w:rsidR="007E5BF0" w:rsidRPr="007144BD" w:rsidRDefault="007E5BF0" w:rsidP="007E5BF0">
      <w:pPr>
        <w:pStyle w:val="Heading4"/>
      </w:pPr>
      <w:r>
        <w:t xml:space="preserve">3. </w:t>
      </w:r>
      <w:r w:rsidRPr="007144BD">
        <w:t xml:space="preserve">Identify the process for making sub-awards and describe how the ESG allocation </w:t>
      </w:r>
      <w:proofErr w:type="gramStart"/>
      <w:r w:rsidRPr="007144BD">
        <w:t>available</w:t>
      </w:r>
      <w:proofErr w:type="gramEnd"/>
      <w:r w:rsidRPr="007144BD">
        <w:t xml:space="preserve"> to private nonprofit organizations (including community and faith-based organizations). </w:t>
      </w:r>
    </w:p>
    <w:p w14:paraId="4E0C0B04" w14:textId="6467A71A" w:rsidR="6CFD59CF" w:rsidRDefault="5D894B00" w:rsidP="6BAB5C2E">
      <w:r>
        <w:t>All subrecipients must submit work plans, budgets, and reports outlining which of the allowable activities will be undertaken for approval</w:t>
      </w:r>
      <w:r w:rsidR="67F1F346">
        <w:t xml:space="preserve">, 8 HRDCs representing </w:t>
      </w:r>
      <w:r w:rsidR="123245B7">
        <w:t>districts</w:t>
      </w:r>
      <w:r w:rsidR="67F1F346">
        <w:t xml:space="preserve"> 5-12 have subaward agreements with DPHHS</w:t>
      </w:r>
      <w:r w:rsidR="3CDBBD99">
        <w:t xml:space="preserve"> to</w:t>
      </w:r>
      <w:r w:rsidR="39AF8EF4">
        <w:t xml:space="preserve"> conduct ESG activities. </w:t>
      </w:r>
      <w:r w:rsidR="120F2BF8">
        <w:t>Districts 1-4 are currently open f</w:t>
      </w:r>
      <w:r w:rsidR="434253FD">
        <w:t>o</w:t>
      </w:r>
      <w:r w:rsidR="120F2BF8">
        <w:t xml:space="preserve">r limited solicitation bids. </w:t>
      </w:r>
      <w:r w:rsidR="67F1F346">
        <w:t xml:space="preserve">DPHHS will accept applications for the limited solicitation on a </w:t>
      </w:r>
      <w:r w:rsidR="67F1F346" w:rsidRPr="00F07B70">
        <w:rPr>
          <w:rFonts w:cstheme="minorHAnsi"/>
        </w:rPr>
        <w:t xml:space="preserve">competitive basis. </w:t>
      </w:r>
      <w:r w:rsidR="67F1F346" w:rsidRPr="00F07B70">
        <w:rPr>
          <w:rStyle w:val="Heading6Char"/>
          <w:rFonts w:asciiTheme="minorHAnsi" w:hAnsiTheme="minorHAnsi" w:cstheme="minorHAnsi"/>
          <w:i w:val="0"/>
          <w:color w:val="auto"/>
        </w:rPr>
        <w:t xml:space="preserve">DPHHS </w:t>
      </w:r>
      <w:r w:rsidR="67F1F346" w:rsidRPr="00F07B70">
        <w:rPr>
          <w:rFonts w:cstheme="minorHAnsi"/>
        </w:rPr>
        <w:t>will</w:t>
      </w:r>
      <w:r w:rsidR="67F1F346" w:rsidRPr="00F07B70">
        <w:t xml:space="preserve"> </w:t>
      </w:r>
      <w:r w:rsidR="67F1F346">
        <w:t>then prioritize project proposals from eligible entities through a ranking process.</w:t>
      </w:r>
      <w:r w:rsidR="5C1EF1A8">
        <w:t xml:space="preserve"> Community and faith-based organizations may apply.</w:t>
      </w:r>
      <w:r w:rsidR="67F1F346">
        <w:t xml:space="preserve"> Applications will be ranked to determine how closely a project aligns with the intent of the ESG program goals and objectives and ranking criteria </w:t>
      </w:r>
      <w:r w:rsidR="4450A114">
        <w:t xml:space="preserve">ESG funds are </w:t>
      </w:r>
      <w:r w:rsidR="707CA418">
        <w:t xml:space="preserve">allocated </w:t>
      </w:r>
      <w:r w:rsidR="4450A114">
        <w:t>based on a formula allocation for the state’s 12 poverty districts, reflecting areas of poverty and general population, as set forth in Section 53-10-502, MCA, pertaining to the federal Community Services Block Grant (CSBG). Each allocation of funds is based on poverty levels and general population in each service area, relative to the poverty and general population of the entire state.</w:t>
      </w:r>
    </w:p>
    <w:p w14:paraId="1E38FDA9" w14:textId="77777777" w:rsidR="007E5BF0" w:rsidRDefault="007E5BF0" w:rsidP="007E5BF0"/>
    <w:p w14:paraId="0B6800E2" w14:textId="77777777" w:rsidR="007E5BF0" w:rsidRDefault="007E5BF0" w:rsidP="007E5BF0">
      <w:pPr>
        <w:pStyle w:val="Heading4"/>
      </w:pPr>
      <w:r>
        <w:t xml:space="preserve">4. </w:t>
      </w:r>
      <w:r w:rsidRPr="007144BD">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p>
    <w:p w14:paraId="2FF69254" w14:textId="77777777" w:rsidR="007E5BF0" w:rsidRDefault="007E5BF0" w:rsidP="007E5BF0">
      <w:r>
        <w:t>Not applicable.</w:t>
      </w:r>
    </w:p>
    <w:p w14:paraId="21586B25" w14:textId="77777777" w:rsidR="007E5BF0" w:rsidRPr="007144BD" w:rsidRDefault="007E5BF0" w:rsidP="007E5BF0"/>
    <w:p w14:paraId="581340FC" w14:textId="77777777" w:rsidR="007E5BF0" w:rsidRPr="007144BD" w:rsidRDefault="2DA80E20" w:rsidP="007E5BF0">
      <w:pPr>
        <w:pStyle w:val="Heading4"/>
      </w:pPr>
      <w:r>
        <w:t xml:space="preserve">5. Describe performance standards for evaluating ESG. </w:t>
      </w:r>
    </w:p>
    <w:p w14:paraId="13F078BD" w14:textId="0653BAC6" w:rsidR="03E7B6F1" w:rsidRDefault="03E7B6F1" w:rsidP="00A75DA5">
      <w:r>
        <w:t>100 households avoided eviction or losing their primary residence.</w:t>
      </w:r>
    </w:p>
    <w:p w14:paraId="2591C34B" w14:textId="7800B056" w:rsidR="03E7B6F1" w:rsidRDefault="03E7B6F1" w:rsidP="08FFD6A1">
      <w:r>
        <w:t>100 unhoused households were placed in housing.</w:t>
      </w:r>
    </w:p>
    <w:p w14:paraId="3202E31A" w14:textId="59325973" w:rsidR="03E7B6F1" w:rsidRDefault="03E7B6F1" w:rsidP="08FFD6A1">
      <w:r>
        <w:t>50 households were provided with a shelter bed</w:t>
      </w:r>
    </w:p>
    <w:p w14:paraId="75B0D584" w14:textId="1E138CFC" w:rsidR="007E5BF0" w:rsidRPr="00A45C1F" w:rsidRDefault="007E5BF0" w:rsidP="007E5BF0">
      <w:r w:rsidRPr="00A45C1F">
        <w:t xml:space="preserve">Reporting of services and outcomes are submitted annually </w:t>
      </w:r>
      <w:r>
        <w:t xml:space="preserve">through </w:t>
      </w:r>
      <w:proofErr w:type="gramStart"/>
      <w:r>
        <w:t>the CAPER</w:t>
      </w:r>
      <w:proofErr w:type="gramEnd"/>
      <w:r>
        <w:t xml:space="preserve"> </w:t>
      </w:r>
      <w:r w:rsidRPr="00A45C1F">
        <w:t>and reported to Congress as part of the CSBG</w:t>
      </w:r>
      <w:r>
        <w:t xml:space="preserve"> Program. DPHHS provides on</w:t>
      </w:r>
      <w:r w:rsidRPr="00A45C1F">
        <w:t>site monitoring of the ESG Program via regularly scheduled monitoring visits by program staff, using a monitoring tool and reviewing a selection of case files. Staff reviews the matching requirements, budget, and performance (both financial and operational) against contracted activities in the approved ESG work plans, and reviews fiscal accountability and timeliness of report submission. This monitoring is part of a comprehensive annual review of all programs funded by the Intergovernmental Human Services Bureau.</w:t>
      </w:r>
    </w:p>
    <w:p w14:paraId="1BFC1E38" w14:textId="77777777" w:rsidR="007E5BF0" w:rsidRPr="007144BD" w:rsidRDefault="007E5BF0" w:rsidP="007E5BF0"/>
    <w:p w14:paraId="32200829" w14:textId="77777777" w:rsidR="007E5BF0" w:rsidRDefault="007E5BF0" w:rsidP="007E5BF0">
      <w:pPr>
        <w:spacing w:after="160" w:line="259" w:lineRule="auto"/>
        <w:rPr>
          <w:rFonts w:asciiTheme="majorHAnsi" w:eastAsiaTheme="majorEastAsia" w:hAnsiTheme="majorHAnsi" w:cstheme="majorBidi"/>
          <w:b/>
          <w:i/>
          <w:color w:val="6E9699"/>
          <w:sz w:val="24"/>
          <w:szCs w:val="24"/>
        </w:rPr>
      </w:pPr>
      <w:r>
        <w:br w:type="page"/>
      </w:r>
    </w:p>
    <w:p w14:paraId="11E5E11E" w14:textId="77777777" w:rsidR="007E5BF0" w:rsidRPr="00CE7D1E" w:rsidRDefault="15D4CFDC" w:rsidP="007E5BF0">
      <w:pPr>
        <w:pStyle w:val="Heading3"/>
      </w:pPr>
      <w:r>
        <w:lastRenderedPageBreak/>
        <w:t>Housing Trust Fund (HTF)</w:t>
      </w:r>
    </w:p>
    <w:p w14:paraId="3AF9F5AB" w14:textId="77777777" w:rsidR="007E5BF0" w:rsidRPr="00CE7D1E" w:rsidRDefault="007E5BF0" w:rsidP="007E5BF0">
      <w:pPr>
        <w:pStyle w:val="Heading3"/>
      </w:pPr>
      <w:r w:rsidRPr="00CE7D1E">
        <w:t>Reference 24 CFR 91.320(k)(5)</w:t>
      </w:r>
    </w:p>
    <w:p w14:paraId="22527CB0" w14:textId="77777777" w:rsidR="007E5BF0" w:rsidRDefault="007E5BF0" w:rsidP="007E5BF0"/>
    <w:p w14:paraId="51861E10" w14:textId="77777777" w:rsidR="007E5BF0" w:rsidRDefault="007E5BF0" w:rsidP="007E5BF0">
      <w:pPr>
        <w:pStyle w:val="Heading4"/>
      </w:pPr>
      <w:r>
        <w:t>1. How will the grantee distribute its HTF funds? Select all that apply:</w:t>
      </w:r>
    </w:p>
    <w:p w14:paraId="213C3982" w14:textId="77777777" w:rsidR="007E5BF0" w:rsidRDefault="007E5BF0" w:rsidP="007E5BF0">
      <w:r>
        <w:t>[X] Applications submitted by eligible recipients</w:t>
      </w:r>
    </w:p>
    <w:p w14:paraId="1E770712" w14:textId="77777777" w:rsidR="007E5BF0" w:rsidRDefault="007E5BF0" w:rsidP="007E5BF0">
      <w:proofErr w:type="gramStart"/>
      <w:r>
        <w:t>[  ]</w:t>
      </w:r>
      <w:proofErr w:type="gramEnd"/>
      <w:r>
        <w:t xml:space="preserve"> Subgrantees that are State Agencies</w:t>
      </w:r>
    </w:p>
    <w:p w14:paraId="57570505" w14:textId="1E7BB0E4" w:rsidR="007E5BF0" w:rsidRDefault="007E5BF0" w:rsidP="007E5BF0">
      <w:proofErr w:type="gramStart"/>
      <w:r>
        <w:t>[</w:t>
      </w:r>
      <w:r w:rsidR="3FA5E06F">
        <w:t xml:space="preserve"> </w:t>
      </w:r>
      <w:r>
        <w:t>]</w:t>
      </w:r>
      <w:proofErr w:type="gramEnd"/>
      <w:r>
        <w:t xml:space="preserve"> Subgrantees that are HUD-CPD entitlement grantees</w:t>
      </w:r>
    </w:p>
    <w:p w14:paraId="40687598" w14:textId="77777777" w:rsidR="007E5BF0" w:rsidRPr="00762A19" w:rsidRDefault="007E5BF0" w:rsidP="007E5BF0"/>
    <w:p w14:paraId="02742DD3" w14:textId="77777777" w:rsidR="007E5BF0" w:rsidRDefault="007E5BF0" w:rsidP="007E5BF0">
      <w:pPr>
        <w:pStyle w:val="Heading4"/>
      </w:pPr>
      <w:r>
        <w:rPr>
          <w:bCs/>
        </w:rPr>
        <w:t xml:space="preserve">2. </w:t>
      </w:r>
      <w:r>
        <w:t xml:space="preserve">If </w:t>
      </w:r>
      <w:r w:rsidRPr="007144BD">
        <w:t>distributing</w:t>
      </w:r>
      <w:r>
        <w:t xml:space="preserve"> HTF funds through grants to subgrantees, describe the method for distributing HTF funds through grants to </w:t>
      </w:r>
      <w:r w:rsidRPr="007144BD">
        <w:t>subgrantees</w:t>
      </w:r>
      <w:r>
        <w:t xml:space="preserve"> and how those funds will be made available to state agencies and/or units of general local government. If not distributing funds through grants to subgrantees, enter “N/A”.</w:t>
      </w:r>
    </w:p>
    <w:p w14:paraId="5ADF9235" w14:textId="79C6C4A7" w:rsidR="007E5BF0" w:rsidRDefault="52A0625E" w:rsidP="007E5BF0">
      <w:r>
        <w:t>Montana does not distribute HTF funds through grants to subgrantees.</w:t>
      </w:r>
    </w:p>
    <w:p w14:paraId="0542F006" w14:textId="77777777" w:rsidR="00E32E0D" w:rsidRPr="007144BD" w:rsidRDefault="00E32E0D" w:rsidP="007E5BF0"/>
    <w:p w14:paraId="4DF8ECD8" w14:textId="77777777" w:rsidR="007E5BF0" w:rsidRDefault="007E5BF0" w:rsidP="007E5BF0">
      <w:pPr>
        <w:pStyle w:val="Heading4"/>
      </w:pPr>
      <w:r>
        <w:t xml:space="preserve">3. If distributing HTF funds by selecting applications submitted by eligible recipients, </w:t>
      </w:r>
    </w:p>
    <w:p w14:paraId="61A30264" w14:textId="77777777" w:rsidR="007E5BF0" w:rsidRPr="00E5033C" w:rsidRDefault="007E5BF0" w:rsidP="007E5BF0"/>
    <w:p w14:paraId="459FB40F" w14:textId="77777777" w:rsidR="007E5BF0" w:rsidRDefault="007E5BF0" w:rsidP="007E5BF0">
      <w:pPr>
        <w:pStyle w:val="Heading5"/>
      </w:pPr>
      <w:r>
        <w:t xml:space="preserve">a. </w:t>
      </w:r>
      <w:r w:rsidRPr="007144BD">
        <w:t>Describe</w:t>
      </w:r>
      <w:r>
        <w:t xml:space="preserve"> </w:t>
      </w:r>
      <w:r w:rsidRPr="00E5033C">
        <w:t>the</w:t>
      </w:r>
      <w:r>
        <w:t xml:space="preserve"> eligibility requirements for recipients of HTF funds (as defined in 24 CFR § 93.2). If not </w:t>
      </w:r>
      <w:r w:rsidRPr="007144BD">
        <w:t>distributing</w:t>
      </w:r>
      <w:r>
        <w:t xml:space="preserve"> funds by selecting applications submitted by eligible recipients, enter “N/A”.</w:t>
      </w:r>
    </w:p>
    <w:p w14:paraId="1ACB7559" w14:textId="1748E511" w:rsidR="007E5BF0" w:rsidRDefault="798A4EDA" w:rsidP="007E5BF0">
      <w:r>
        <w:t xml:space="preserve">HTF recipients include </w:t>
      </w:r>
      <w:r w:rsidR="58AF52D7">
        <w:t>developers</w:t>
      </w:r>
      <w:r>
        <w:t xml:space="preserve"> and nonprofit organizations. HTF recipients are eligible to apply for HTF funding, alone or in partnership. Nonprofit organizations must have an Internal Revenue Service 501(c)(3) or 501(c)(4) nonprofit designation to be an eligible recipient of HTF funds. Partner organizations may include for-profit entities, other nonprofit organizations, CHDOs, HRDCs, and PHAs.</w:t>
      </w:r>
    </w:p>
    <w:p w14:paraId="0A619F44" w14:textId="77777777" w:rsidR="007E5BF0" w:rsidRPr="00E5033C" w:rsidRDefault="007E5BF0" w:rsidP="007E5BF0"/>
    <w:p w14:paraId="5E27B590" w14:textId="77777777" w:rsidR="007E5BF0" w:rsidRDefault="007E5BF0" w:rsidP="007E5BF0">
      <w:pPr>
        <w:pStyle w:val="Heading5"/>
      </w:pPr>
      <w:r>
        <w:t xml:space="preserve">b. </w:t>
      </w:r>
      <w:r w:rsidRPr="007144BD">
        <w:t>Describe</w:t>
      </w:r>
      <w:r>
        <w:t xml:space="preserve"> the grantee’s application requirements for eligible recipients to apply for HTF funds. If not distributing funds by selecting applications submitted by eligible recipients, enter “N/A”. </w:t>
      </w:r>
    </w:p>
    <w:p w14:paraId="346D488E" w14:textId="77777777" w:rsidR="007E5BF0" w:rsidRDefault="007E5BF0" w:rsidP="007E5BF0">
      <w:r w:rsidRPr="00A45C1F">
        <w:t>Eligible applicants must complete an application adhering to the re</w:t>
      </w:r>
      <w:r>
        <w:t>quirements outlined in the HTF a</w:t>
      </w:r>
      <w:r w:rsidRPr="00A45C1F">
        <w:t xml:space="preserve">pplication </w:t>
      </w:r>
      <w:r>
        <w:t>g</w:t>
      </w:r>
      <w:r w:rsidRPr="00A45C1F">
        <w:t>uidelines. Commerce will review applications and award funds to those projects most closely aligned with the goals and objectives of the program.</w:t>
      </w:r>
    </w:p>
    <w:p w14:paraId="5F8530FF" w14:textId="77777777" w:rsidR="007E5BF0" w:rsidRPr="007144BD" w:rsidRDefault="007E5BF0" w:rsidP="007E5BF0"/>
    <w:p w14:paraId="13B5966F" w14:textId="77777777" w:rsidR="007E5BF0" w:rsidRDefault="007E5BF0" w:rsidP="007E5BF0">
      <w:pPr>
        <w:pStyle w:val="Heading5"/>
      </w:pPr>
      <w:r>
        <w:t xml:space="preserve">c. </w:t>
      </w:r>
      <w:r w:rsidRPr="007144BD">
        <w:t>Describe</w:t>
      </w:r>
      <w:r>
        <w:t xml:space="preserve"> the selection criteria that the grantee will use to select applications submitted by eligible recipients. If not distributing funds by selecting applications submitted by eligible recipients, enter “N/A”.</w:t>
      </w:r>
    </w:p>
    <w:p w14:paraId="3858D41A" w14:textId="77777777" w:rsidR="007E5BF0" w:rsidRDefault="007E5BF0" w:rsidP="007E5BF0">
      <w:r>
        <w:t xml:space="preserve">Eligible applicants must provide responses in the application to the following ranking priorities. </w:t>
      </w:r>
    </w:p>
    <w:p w14:paraId="42CDB0A1" w14:textId="77777777" w:rsidR="007E5BF0" w:rsidRDefault="007E5BF0" w:rsidP="007E5BF0">
      <w:pPr>
        <w:pStyle w:val="ListParagraph"/>
        <w:numPr>
          <w:ilvl w:val="0"/>
          <w:numId w:val="17"/>
        </w:numPr>
      </w:pPr>
      <w:r>
        <w:t>Geographic Diversity and Housing Needs</w:t>
      </w:r>
    </w:p>
    <w:p w14:paraId="67FDD964" w14:textId="77777777" w:rsidR="007E5BF0" w:rsidRDefault="007E5BF0" w:rsidP="007E5BF0">
      <w:pPr>
        <w:pStyle w:val="ListParagraph"/>
        <w:numPr>
          <w:ilvl w:val="0"/>
          <w:numId w:val="17"/>
        </w:numPr>
      </w:pPr>
      <w:r>
        <w:t>Capacity of the Applicant</w:t>
      </w:r>
    </w:p>
    <w:p w14:paraId="1089C76B" w14:textId="77777777" w:rsidR="007E5BF0" w:rsidRDefault="007E5BF0" w:rsidP="007E5BF0">
      <w:pPr>
        <w:pStyle w:val="ListParagraph"/>
        <w:numPr>
          <w:ilvl w:val="0"/>
          <w:numId w:val="17"/>
        </w:numPr>
      </w:pPr>
      <w:r>
        <w:t>Affordability and Financial Feasibility</w:t>
      </w:r>
    </w:p>
    <w:p w14:paraId="10B4118A" w14:textId="77777777" w:rsidR="007E5BF0" w:rsidRDefault="007E5BF0" w:rsidP="007E5BF0">
      <w:pPr>
        <w:pStyle w:val="ListParagraph"/>
        <w:numPr>
          <w:ilvl w:val="0"/>
          <w:numId w:val="17"/>
        </w:numPr>
      </w:pPr>
      <w:r>
        <w:t>Appropriate Design and Long-Term Solution</w:t>
      </w:r>
    </w:p>
    <w:p w14:paraId="6711A16A" w14:textId="77777777" w:rsidR="007E5BF0" w:rsidRDefault="007E5BF0" w:rsidP="007E5BF0">
      <w:pPr>
        <w:pStyle w:val="ListParagraph"/>
        <w:numPr>
          <w:ilvl w:val="0"/>
          <w:numId w:val="17"/>
        </w:numPr>
      </w:pPr>
      <w:r>
        <w:t>Long-term Planning and Management</w:t>
      </w:r>
    </w:p>
    <w:p w14:paraId="2A6A47E2" w14:textId="77777777" w:rsidR="007E5BF0" w:rsidRDefault="007E5BF0" w:rsidP="007E5BF0">
      <w:pPr>
        <w:pStyle w:val="ListParagraph"/>
        <w:numPr>
          <w:ilvl w:val="0"/>
          <w:numId w:val="17"/>
        </w:numPr>
      </w:pPr>
      <w:r>
        <w:t>Readiness to Proceed</w:t>
      </w:r>
    </w:p>
    <w:p w14:paraId="4A5483EA" w14:textId="77777777" w:rsidR="007E5BF0" w:rsidRDefault="007E5BF0" w:rsidP="007E5BF0"/>
    <w:p w14:paraId="2755878B" w14:textId="7E5FF80A" w:rsidR="007E5BF0" w:rsidRDefault="007E5BF0" w:rsidP="007E5BF0">
      <w:r>
        <w:t xml:space="preserve">Eligible applicants must also provide signed certifications, supporting documentation, budget, implementation schedule, management plan, market analysis, and other documents that may include a Preliminary Architectural Report or Capital Needs Assessment to demonstrate the project’s ability to meet the HTF Program guidelines. Commerce will use the HTF allocation to increase and preserve the supply of rental housing for extremely low-income families. </w:t>
      </w:r>
    </w:p>
    <w:p w14:paraId="173DA9AE" w14:textId="77777777" w:rsidR="007E5BF0" w:rsidRDefault="007E5BF0" w:rsidP="007E5BF0"/>
    <w:p w14:paraId="33A324F2" w14:textId="77777777" w:rsidR="007E5BF0" w:rsidRDefault="007E5BF0" w:rsidP="12909959">
      <w:r>
        <w:t>Eligible project activities can generally be any of the following that result in units that can be occupied by income-eligible households at the completion of the HTF-funded project:</w:t>
      </w:r>
    </w:p>
    <w:p w14:paraId="14CD1C40" w14:textId="77777777" w:rsidR="007E5BF0" w:rsidRDefault="007E5BF0" w:rsidP="007E5BF0">
      <w:pPr>
        <w:pStyle w:val="ListParagraph"/>
        <w:numPr>
          <w:ilvl w:val="1"/>
          <w:numId w:val="18"/>
        </w:numPr>
      </w:pPr>
      <w:r>
        <w:lastRenderedPageBreak/>
        <w:t xml:space="preserve">Demolition of existing substandard housing that is not suitable for rehabilitation, or of non-residential structures that are not suitable for conversion to housing </w:t>
      </w:r>
      <w:proofErr w:type="gramStart"/>
      <w:r>
        <w:t>units;</w:t>
      </w:r>
      <w:proofErr w:type="gramEnd"/>
      <w:r>
        <w:t xml:space="preserve"> </w:t>
      </w:r>
    </w:p>
    <w:p w14:paraId="1BC18FE7" w14:textId="77777777" w:rsidR="007E5BF0" w:rsidRDefault="007E5BF0" w:rsidP="007E5BF0">
      <w:pPr>
        <w:pStyle w:val="ListParagraph"/>
        <w:numPr>
          <w:ilvl w:val="1"/>
          <w:numId w:val="18"/>
        </w:numPr>
      </w:pPr>
      <w:r>
        <w:t xml:space="preserve">Site improvements, such as landscaping, paving, sidewalks, curbs and gutters, onsite utilities, etc., related to rehabilitation or new construction of rental </w:t>
      </w:r>
      <w:proofErr w:type="gramStart"/>
      <w:r>
        <w:t>housing;</w:t>
      </w:r>
      <w:proofErr w:type="gramEnd"/>
      <w:r>
        <w:t xml:space="preserve"> </w:t>
      </w:r>
    </w:p>
    <w:p w14:paraId="6BBA63C9" w14:textId="77777777" w:rsidR="007E5BF0" w:rsidRDefault="007E5BF0" w:rsidP="007E5BF0">
      <w:pPr>
        <w:pStyle w:val="ListParagraph"/>
        <w:numPr>
          <w:ilvl w:val="1"/>
          <w:numId w:val="18"/>
        </w:numPr>
      </w:pPr>
      <w:r>
        <w:t xml:space="preserve">Construction of new rental housing </w:t>
      </w:r>
      <w:proofErr w:type="gramStart"/>
      <w:r>
        <w:t>units;</w:t>
      </w:r>
      <w:proofErr w:type="gramEnd"/>
    </w:p>
    <w:p w14:paraId="6893122C" w14:textId="77777777" w:rsidR="007E5BF0" w:rsidRDefault="007E5BF0" w:rsidP="007E5BF0">
      <w:pPr>
        <w:pStyle w:val="ListParagraph"/>
        <w:numPr>
          <w:ilvl w:val="1"/>
          <w:numId w:val="18"/>
        </w:numPr>
      </w:pPr>
      <w:r>
        <w:t xml:space="preserve">Rehabilitation of existing substandard rental housing that is suitable for </w:t>
      </w:r>
      <w:proofErr w:type="gramStart"/>
      <w:r>
        <w:t>rehabilitation;</w:t>
      </w:r>
      <w:proofErr w:type="gramEnd"/>
    </w:p>
    <w:p w14:paraId="6D2D216F" w14:textId="77777777" w:rsidR="007E5BF0" w:rsidRDefault="007E5BF0" w:rsidP="007E5BF0">
      <w:pPr>
        <w:pStyle w:val="ListParagraph"/>
        <w:numPr>
          <w:ilvl w:val="1"/>
          <w:numId w:val="18"/>
        </w:numPr>
      </w:pPr>
      <w:r>
        <w:t>Conversion of existing non-housing structures into housing units; and/or</w:t>
      </w:r>
    </w:p>
    <w:p w14:paraId="77689E66" w14:textId="77777777" w:rsidR="007E5BF0" w:rsidRDefault="007E5BF0" w:rsidP="007E5BF0">
      <w:pPr>
        <w:pStyle w:val="ListParagraph"/>
        <w:numPr>
          <w:ilvl w:val="1"/>
          <w:numId w:val="18"/>
        </w:numPr>
      </w:pPr>
      <w:r>
        <w:t>Reconstruction of an existing rental housing project.</w:t>
      </w:r>
    </w:p>
    <w:p w14:paraId="0391B1A9" w14:textId="77777777" w:rsidR="007E5BF0" w:rsidRPr="007144BD" w:rsidRDefault="007E5BF0" w:rsidP="007E5BF0"/>
    <w:p w14:paraId="07594497" w14:textId="77777777" w:rsidR="007E5BF0" w:rsidRDefault="007E5BF0" w:rsidP="007E5BF0">
      <w:pPr>
        <w:pStyle w:val="Heading5"/>
      </w:pPr>
      <w:r>
        <w:t xml:space="preserve">d. Describe the grantee’s required priority for funding based on geographic diversity (as defined by the grantee in the </w:t>
      </w:r>
      <w:r w:rsidRPr="00392C0F">
        <w:t>consolidated</w:t>
      </w:r>
      <w:r>
        <w:t xml:space="preserve"> plan). If not distributing funds by selecting applications submitted by eligible recipients, enter “N/A”.</w:t>
      </w:r>
    </w:p>
    <w:p w14:paraId="68022BD5" w14:textId="3527F387" w:rsidR="005A72C9" w:rsidRDefault="00285E8C" w:rsidP="6EE14823">
      <w:r>
        <w:t xml:space="preserve">Commerce does consider geographic distribution across the state when awarding HTF </w:t>
      </w:r>
      <w:r w:rsidR="2510DF40">
        <w:t>funds and</w:t>
      </w:r>
      <w:r w:rsidR="005A72C9">
        <w:t xml:space="preserve"> awards additional points for projects in under-resourced areas of the state</w:t>
      </w:r>
      <w:r w:rsidR="1FC14617">
        <w:t>.</w:t>
      </w:r>
    </w:p>
    <w:p w14:paraId="50E0B0C3" w14:textId="1D058725" w:rsidR="331F13D3" w:rsidRDefault="331F13D3" w:rsidP="331F13D3"/>
    <w:p w14:paraId="6436BF94" w14:textId="77777777" w:rsidR="007E5BF0" w:rsidRDefault="007E5BF0" w:rsidP="007E5BF0">
      <w:pPr>
        <w:pStyle w:val="Heading5"/>
      </w:pPr>
      <w:r>
        <w:t xml:space="preserve">e. </w:t>
      </w:r>
      <w:r w:rsidRPr="00392C0F">
        <w:t>Describe</w:t>
      </w:r>
      <w:r>
        <w:t xml:space="preserve"> the grantee’s required priority for funding based on the applicant's ability to obligate HTF funds and undertake eligible activities in a timely manner. If not distributing funds by selecting applications submitted by eligible recipients, enter “N/A”.</w:t>
      </w:r>
    </w:p>
    <w:p w14:paraId="2360710D" w14:textId="77777777" w:rsidR="007E5BF0" w:rsidRDefault="007E5BF0" w:rsidP="007E5BF0">
      <w:r w:rsidRPr="0067442F">
        <w:t>Commerce considers in the Readiness to Proceed Priority the project’s ability to obligate HTF funds and undertake eligible activities within 9 months of award and assesses whether projects can be completed and occupied within 4 years of award.</w:t>
      </w:r>
    </w:p>
    <w:p w14:paraId="45DDC2DC" w14:textId="77777777" w:rsidR="007E5BF0" w:rsidRPr="00392C0F" w:rsidRDefault="007E5BF0" w:rsidP="007E5BF0"/>
    <w:p w14:paraId="6789422B" w14:textId="77777777" w:rsidR="007E5BF0" w:rsidRDefault="007E5BF0" w:rsidP="007E5BF0">
      <w:pPr>
        <w:pStyle w:val="Heading5"/>
      </w:pPr>
      <w:r>
        <w:t xml:space="preserve">f. Describe the grantee’s required priority for funding based on the extent to which the rental </w:t>
      </w:r>
      <w:r w:rsidRPr="00392C0F">
        <w:t>project</w:t>
      </w:r>
      <w:r>
        <w:t xml:space="preserve"> has Federal, State, or local project-based rental assistance so that rents are affordable to extremely low-income families. If not distributing funds by selecting applications submitted by eligible recipients, enter “N/A”.</w:t>
      </w:r>
    </w:p>
    <w:p w14:paraId="17BC5A11" w14:textId="77777777" w:rsidR="007E5BF0" w:rsidRDefault="007E5BF0" w:rsidP="007E5BF0">
      <w:r>
        <w:t xml:space="preserve">All HTF units will remain affordable as HTF units for a minimum of 30 years by demonstrating a supported cash flow through the HTF 30-year period of affordability, achieved through a request for HTF Operating Assistance and/or with the documented availability of federal, state, or local project-based rental subsidy. </w:t>
      </w:r>
    </w:p>
    <w:p w14:paraId="2FD80DFA" w14:textId="77777777" w:rsidR="007E5BF0" w:rsidRDefault="007E5BF0" w:rsidP="007E5BF0"/>
    <w:p w14:paraId="0E9CF475" w14:textId="58B65CDB" w:rsidR="007E5BF0" w:rsidRDefault="007E5BF0" w:rsidP="007E5BF0">
      <w:r>
        <w:t xml:space="preserve">All funded HTF activities must meet HTF requirements, including the HOME Program’s maximum per-unit development subsidy limit for housing assisted with HTF funds. The State has elected to use maximum per-unit subsidy limits for the HOME Program (24 CFR 93.300(a)), which are calculated using the Uniform Application Form for Montana </w:t>
      </w:r>
      <w:r w:rsidR="62C83D24">
        <w:t>H</w:t>
      </w:r>
      <w:r>
        <w:t>ousing programs available on the Commerce website.</w:t>
      </w:r>
    </w:p>
    <w:p w14:paraId="365AEEAB" w14:textId="77777777" w:rsidR="007E5BF0" w:rsidRDefault="007E5BF0" w:rsidP="007E5BF0"/>
    <w:p w14:paraId="5982D882" w14:textId="3009EBE6" w:rsidR="007E5BF0" w:rsidRDefault="007E5BF0" w:rsidP="007E5BF0">
      <w:r>
        <w:t xml:space="preserve">Applicants must submit this information through the Uniform Application for Montana </w:t>
      </w:r>
      <w:r w:rsidR="07578E04">
        <w:t>H</w:t>
      </w:r>
      <w:r>
        <w:t xml:space="preserve">ousing programs to describe and document how the project will maintain a positive cash flow through the minimum, required 30-year period of affordability. As part of that demonstration, the applicant will be required to describe and document: </w:t>
      </w:r>
    </w:p>
    <w:p w14:paraId="0BB8CA86" w14:textId="77777777" w:rsidR="007E5BF0" w:rsidRDefault="007E5BF0" w:rsidP="007E5BF0">
      <w:pPr>
        <w:pStyle w:val="ListParagraph"/>
        <w:numPr>
          <w:ilvl w:val="0"/>
          <w:numId w:val="20"/>
        </w:numPr>
      </w:pPr>
      <w:r>
        <w:t>The need for any request for HTF Operating Assistance funds; and/or</w:t>
      </w:r>
    </w:p>
    <w:p w14:paraId="4B3E1B3F" w14:textId="77777777" w:rsidR="007E5BF0" w:rsidRDefault="007E5BF0" w:rsidP="007E5BF0">
      <w:pPr>
        <w:pStyle w:val="ListParagraph"/>
        <w:numPr>
          <w:ilvl w:val="0"/>
          <w:numId w:val="20"/>
        </w:numPr>
      </w:pPr>
      <w:r>
        <w:t>The applicant’s ability to provide federal, state, or local project-based rental subsidy.</w:t>
      </w:r>
    </w:p>
    <w:p w14:paraId="28A80BF1" w14:textId="77777777" w:rsidR="007E5BF0" w:rsidRPr="00F10D81" w:rsidRDefault="007E5BF0" w:rsidP="007E5BF0"/>
    <w:p w14:paraId="51DEDE0A" w14:textId="77777777" w:rsidR="007E5BF0" w:rsidRDefault="007E5BF0" w:rsidP="007E5BF0">
      <w:pPr>
        <w:pStyle w:val="Heading5"/>
      </w:pPr>
      <w:r>
        <w:t xml:space="preserve">g. </w:t>
      </w:r>
      <w:r w:rsidRPr="00392C0F">
        <w:t>Describe</w:t>
      </w:r>
      <w:r>
        <w:t xml:space="preserve"> the grantee’s required priority for funding based on the financial feasibility of the project beyond the required 30-year period. If not distributing funds by selecting applications submitted by eligible recipients, enter “N/A”.</w:t>
      </w:r>
    </w:p>
    <w:p w14:paraId="6DF8F607" w14:textId="07ABA9A7" w:rsidR="007E5BF0" w:rsidRDefault="007E5BF0" w:rsidP="007E5BF0">
      <w:r>
        <w:t xml:space="preserve">The HTF application requires projects to have at least a 30-year period of affordability, during which the property must meet income-eligibility and rent limit requirements. During the period of affordability, </w:t>
      </w:r>
      <w:r>
        <w:lastRenderedPageBreak/>
        <w:t xml:space="preserve">the </w:t>
      </w:r>
      <w:r w:rsidR="0375CA8C">
        <w:t xml:space="preserve">recipient </w:t>
      </w:r>
      <w:r>
        <w:t xml:space="preserve">will need to provide a certification of compliance. Additionally, the Affordability and Financial Feasibility Priority includes additional questions regarding the financial viability of the proposed project to ensure that: </w:t>
      </w:r>
    </w:p>
    <w:p w14:paraId="030366EE" w14:textId="5F983000" w:rsidR="007E5BF0" w:rsidRDefault="44D4AD0C" w:rsidP="007E5BF0">
      <w:pPr>
        <w:pStyle w:val="ListParagraph"/>
        <w:numPr>
          <w:ilvl w:val="0"/>
          <w:numId w:val="21"/>
        </w:numPr>
      </w:pPr>
      <w:r>
        <w:t xml:space="preserve">The HTF award </w:t>
      </w:r>
      <w:r w:rsidR="007E5BF0">
        <w:t>will only be an amount necessary to provide quality affordable housing that is financially viable for at least the statutorily required period of affordability; and</w:t>
      </w:r>
    </w:p>
    <w:p w14:paraId="349059A8" w14:textId="6C766303" w:rsidR="007E5BF0" w:rsidRDefault="007E5BF0" w:rsidP="007E5BF0">
      <w:pPr>
        <w:pStyle w:val="ListParagraph"/>
        <w:numPr>
          <w:ilvl w:val="0"/>
          <w:numId w:val="21"/>
        </w:numPr>
      </w:pPr>
      <w:r>
        <w:t>The sources and uses of funds (including any operating cost assistance and reserves) for the project are reasonable and will not provide undue benefit</w:t>
      </w:r>
      <w:r w:rsidR="5BF2DE16">
        <w:t xml:space="preserve"> to the developer or owner(s)</w:t>
      </w:r>
      <w:r>
        <w:t>.</w:t>
      </w:r>
    </w:p>
    <w:p w14:paraId="20CC476B" w14:textId="77777777" w:rsidR="007E5BF0" w:rsidRPr="00392C0F" w:rsidRDefault="007E5BF0" w:rsidP="007E5BF0"/>
    <w:p w14:paraId="57DCA5FE" w14:textId="77777777" w:rsidR="007E5BF0" w:rsidRDefault="007E5BF0" w:rsidP="007E5BF0">
      <w:pPr>
        <w:pStyle w:val="Heading5"/>
      </w:pPr>
      <w:r>
        <w:t xml:space="preserve">h. </w:t>
      </w:r>
      <w:r w:rsidRPr="00392C0F">
        <w:t>Describe</w:t>
      </w:r>
      <w:r>
        <w:t xml:space="preserve"> the grantee’s required priority for funding based on the merits of the application in meeting the priority housing needs of the grantee (such as housing that is accessible to transit or employment centers, housing that includes green building and sustainable development features, or housing that serves special needs populations). If not distributing funds by selecting applications submitted by eligible recipients, enter “N/A”.</w:t>
      </w:r>
    </w:p>
    <w:p w14:paraId="46D8DE1C" w14:textId="77777777" w:rsidR="007E5BF0" w:rsidRDefault="007E5BF0" w:rsidP="007E5BF0">
      <w:r w:rsidRPr="00381453">
        <w:t xml:space="preserve">Appropriate Design and Long-Term Solution Priority requires the applicant to respond to questions to determine the extent to which an applicant demonstrates that the project aligns with and will contribute to the achievement of the Consolidated Plan goals and objectives as well as other factors, including but not limited to, broadband internet connectivity, walkability, </w:t>
      </w:r>
      <w:proofErr w:type="spellStart"/>
      <w:r w:rsidRPr="00381453">
        <w:t>visitability</w:t>
      </w:r>
      <w:proofErr w:type="spellEnd"/>
      <w:r w:rsidRPr="00381453">
        <w:t>, energy efficiency and conservation, smoke-free, and accessibility.</w:t>
      </w:r>
    </w:p>
    <w:p w14:paraId="08CDB40A" w14:textId="77777777" w:rsidR="007E5BF0" w:rsidRPr="00392C0F" w:rsidRDefault="007E5BF0" w:rsidP="007E5BF0"/>
    <w:p w14:paraId="56808B45" w14:textId="77777777" w:rsidR="007E5BF0" w:rsidRDefault="007E5BF0" w:rsidP="007E5BF0">
      <w:pPr>
        <w:pStyle w:val="Heading5"/>
      </w:pPr>
      <w:proofErr w:type="spellStart"/>
      <w:r>
        <w:t>i</w:t>
      </w:r>
      <w:proofErr w:type="spellEnd"/>
      <w:r>
        <w:t xml:space="preserve">. Describe the grantee’s required priority for funding based on the extent to which the </w:t>
      </w:r>
      <w:r w:rsidRPr="00392C0F">
        <w:t>application</w:t>
      </w:r>
      <w:r>
        <w:t xml:space="preserve"> makes use of non-federal funding sources. If not distributing funds by selecting applications submitted by eligible recipients, enter “N/A”.</w:t>
      </w:r>
    </w:p>
    <w:p w14:paraId="1C6BB348" w14:textId="14C16354" w:rsidR="007E5BF0" w:rsidRDefault="007E5BF0" w:rsidP="007E5BF0">
      <w:r>
        <w:t xml:space="preserve">While no match is required for the use of HTF funds, Commerce will carefully consider applications that leverage other funding sources to achieve the project activities. Affordability and Financial Feasibility Priority requires the applicant to respond to questions to determine the extent to which the applicant demonstrates that the </w:t>
      </w:r>
      <w:r w:rsidR="0FD0C998">
        <w:t xml:space="preserve">HTF award </w:t>
      </w:r>
      <w:r>
        <w:t>will only be an amount necessary to provide quality affordable housing that is financially viable for at least the statutorily required period of affordability and that the sources and uses of funds (including any operating cost assistance and reserves) for the project are reasonable and will not provide an undue benefit.</w:t>
      </w:r>
    </w:p>
    <w:p w14:paraId="6AC98322" w14:textId="77777777" w:rsidR="007E5BF0" w:rsidRPr="00392C0F" w:rsidRDefault="007E5BF0" w:rsidP="007E5BF0"/>
    <w:p w14:paraId="4FB88F1C" w14:textId="77777777" w:rsidR="007E5BF0" w:rsidRDefault="007E5BF0" w:rsidP="007E5BF0">
      <w:pPr>
        <w:pStyle w:val="Heading4"/>
      </w:pPr>
      <w:r>
        <w:t>4. Does the grantee’s application require the applicant to include a description of the eligible activities to be conducted with HTF funds? If not distributing funds by selecting applications submitted by eligible recipients, select “N/A”.</w:t>
      </w:r>
    </w:p>
    <w:p w14:paraId="76570467" w14:textId="77777777" w:rsidR="007E5BF0" w:rsidRDefault="007E5BF0" w:rsidP="007E5BF0">
      <w:r>
        <w:t>[X] Yes</w:t>
      </w:r>
      <w:r>
        <w:tab/>
      </w:r>
      <w:r>
        <w:tab/>
      </w:r>
      <w:proofErr w:type="gramStart"/>
      <w:r>
        <w:t>[ ]</w:t>
      </w:r>
      <w:proofErr w:type="gramEnd"/>
      <w:r>
        <w:t xml:space="preserve"> No</w:t>
      </w:r>
      <w:r>
        <w:tab/>
      </w:r>
      <w:r>
        <w:tab/>
        <w:t>[ ] N/A</w:t>
      </w:r>
    </w:p>
    <w:p w14:paraId="0350DE74" w14:textId="77777777" w:rsidR="007E5BF0" w:rsidRDefault="007E5BF0" w:rsidP="007E5BF0"/>
    <w:p w14:paraId="5072C582" w14:textId="77777777" w:rsidR="007E5BF0" w:rsidRDefault="007E5BF0" w:rsidP="007E5BF0">
      <w:pPr>
        <w:pStyle w:val="Heading4"/>
      </w:pPr>
      <w:r>
        <w:t xml:space="preserve">5. </w:t>
      </w:r>
      <w:r w:rsidRPr="00392C0F">
        <w:t>Does</w:t>
      </w:r>
      <w:r>
        <w:t xml:space="preserve"> the grantee’s application require that each eligible recipient certify that housing units assisted with HTF funds will comply with HTF requirements? If not distributing funds by selecting applications submitted by eligible recipients, select “N/A”.</w:t>
      </w:r>
    </w:p>
    <w:p w14:paraId="5E0FDD00" w14:textId="77777777" w:rsidR="007E5BF0" w:rsidRDefault="007E5BF0" w:rsidP="007E5BF0">
      <w:r>
        <w:t>[X] Yes</w:t>
      </w:r>
      <w:r>
        <w:tab/>
      </w:r>
      <w:r>
        <w:tab/>
      </w:r>
      <w:proofErr w:type="gramStart"/>
      <w:r>
        <w:t>[ ]</w:t>
      </w:r>
      <w:proofErr w:type="gramEnd"/>
      <w:r>
        <w:t xml:space="preserve"> No</w:t>
      </w:r>
      <w:r>
        <w:tab/>
      </w:r>
      <w:r>
        <w:tab/>
        <w:t>[ ] N/A</w:t>
      </w:r>
    </w:p>
    <w:p w14:paraId="219E3280" w14:textId="77777777" w:rsidR="007E5BF0" w:rsidRDefault="007E5BF0" w:rsidP="007E5BF0"/>
    <w:p w14:paraId="4D0428BF" w14:textId="77777777" w:rsidR="007E5BF0" w:rsidRDefault="007E5BF0" w:rsidP="007E5BF0">
      <w:pPr>
        <w:pStyle w:val="Heading4"/>
      </w:pPr>
      <w:r w:rsidRPr="00392C0F">
        <w:t xml:space="preserve">6. </w:t>
      </w:r>
      <w:r w:rsidRPr="002B298D">
        <w:t>Performance Goals and Benchmarks</w:t>
      </w:r>
      <w:r w:rsidRPr="00392C0F">
        <w:t>.</w:t>
      </w:r>
      <w:r>
        <w:t xml:space="preserve"> </w:t>
      </w:r>
    </w:p>
    <w:p w14:paraId="339C15D5" w14:textId="77777777" w:rsidR="007E5BF0" w:rsidRDefault="007E5BF0" w:rsidP="007E5BF0">
      <w:pPr>
        <w:pStyle w:val="InstructionalTextSubheading"/>
      </w:pPr>
      <w:r w:rsidRPr="00392C0F">
        <w:t>The grantee has met the requirement to provide for performance goals and benchmarks against which the grantee will measure its progress, consistent with the grantee’s goals established under 24 CFR 91.315(b)(2), by including HTF in its housing goals in the housing table on the SP-45 Goals and AP-20 Annual Goals and Objectives screens.</w:t>
      </w:r>
    </w:p>
    <w:p w14:paraId="05FE5C2E" w14:textId="77777777" w:rsidR="007E5BF0" w:rsidRDefault="007E5BF0" w:rsidP="007E5BF0">
      <w:r>
        <w:t>[X] Yes</w:t>
      </w:r>
      <w:r>
        <w:tab/>
      </w:r>
      <w:r>
        <w:tab/>
      </w:r>
      <w:proofErr w:type="gramStart"/>
      <w:r>
        <w:t>[ ]</w:t>
      </w:r>
      <w:proofErr w:type="gramEnd"/>
      <w:r>
        <w:t xml:space="preserve"> No</w:t>
      </w:r>
    </w:p>
    <w:p w14:paraId="0A231559" w14:textId="77777777" w:rsidR="007E5BF0" w:rsidRPr="007A6735" w:rsidRDefault="007E5BF0" w:rsidP="007E5BF0"/>
    <w:p w14:paraId="7EF6B97D" w14:textId="77777777" w:rsidR="007E5BF0" w:rsidRDefault="007E5BF0" w:rsidP="007E5BF0">
      <w:pPr>
        <w:pStyle w:val="Heading4"/>
      </w:pPr>
      <w:r>
        <w:lastRenderedPageBreak/>
        <w:t xml:space="preserve">7. </w:t>
      </w:r>
      <w:r w:rsidRPr="002B298D">
        <w:rPr>
          <w:bCs/>
        </w:rPr>
        <w:t>Maximum Per-unit Development Subsidy Amount for Housing Assisted with HTF Funds</w:t>
      </w:r>
      <w:r>
        <w:rPr>
          <w:b/>
        </w:rPr>
        <w:t>.</w:t>
      </w:r>
      <w:r>
        <w:t xml:space="preserve"> </w:t>
      </w:r>
    </w:p>
    <w:p w14:paraId="5A36FF86" w14:textId="77777777" w:rsidR="007E5BF0" w:rsidRDefault="007E5BF0" w:rsidP="007E5BF0">
      <w:pPr>
        <w:pStyle w:val="InstructionalTextSubheading"/>
      </w:pPr>
      <w:r>
        <w:t>Enter or attach the grantee’s maximum per-unit development subsidy limits for housing assisted with HTF funds.</w:t>
      </w:r>
    </w:p>
    <w:p w14:paraId="0AF58F20" w14:textId="77777777" w:rsidR="007E5BF0" w:rsidRDefault="007E5BF0" w:rsidP="007E5BF0">
      <w:pPr>
        <w:pStyle w:val="InstructionalTextSubheading"/>
      </w:pPr>
    </w:p>
    <w:p w14:paraId="09807121" w14:textId="77777777" w:rsidR="007E5BF0" w:rsidRDefault="007E5BF0" w:rsidP="007E5BF0">
      <w:pPr>
        <w:pStyle w:val="InstructionalTextSubheading"/>
      </w:pPr>
      <w:r>
        <w:t xml:space="preserve">The limits must be adjusted for the number of bedrooms and the geographic location of the project. The limits must also be reasonable and based on </w:t>
      </w:r>
      <w:proofErr w:type="gramStart"/>
      <w:r>
        <w:t>actual</w:t>
      </w:r>
      <w:proofErr w:type="gramEnd"/>
      <w:r>
        <w:t xml:space="preserve"> costs of developing non-luxury housing in the area.</w:t>
      </w:r>
    </w:p>
    <w:p w14:paraId="1F80C2CD" w14:textId="77777777" w:rsidR="007E5BF0" w:rsidRDefault="007E5BF0" w:rsidP="007E5BF0">
      <w:pPr>
        <w:pStyle w:val="InstructionalTextSubheading"/>
      </w:pPr>
      <w:r>
        <w:t>If the grantee will use existing limits developed for other federal programs such as the Low Income Housing Tax Credit (LIHTC) per unit cost limits, HOME’s maximum per-unit subsidy amounts, and/or Public Housing Development Cost Limits (TDCs), it must include a description of how the HTF maximum per-unit development subsidy limits were established or a description of how existing limits developed for another program and being adopted for HTF meet the HTF requirements specified above.</w:t>
      </w:r>
    </w:p>
    <w:p w14:paraId="29BDF4B6" w14:textId="288FD0E1" w:rsidR="007E5BF0" w:rsidRDefault="15D4CFDC" w:rsidP="007E5BF0">
      <w:r>
        <w:t xml:space="preserve">Commerce uses the HOME maximum per-unity subsidy amounts for the HTF Program. The HOME and HTF subsidy limits are presented in </w:t>
      </w:r>
      <w:r w:rsidRPr="331F13D3">
        <w:rPr>
          <w:b/>
          <w:bCs/>
        </w:rPr>
        <w:t>Table AP-5</w:t>
      </w:r>
      <w:r>
        <w:t xml:space="preserve">. These limits </w:t>
      </w:r>
      <w:r w:rsidR="7A6737A4">
        <w:t xml:space="preserve">were </w:t>
      </w:r>
      <w:r w:rsidR="585D25EA">
        <w:t xml:space="preserve">effective </w:t>
      </w:r>
      <w:r w:rsidR="2A2E48D8">
        <w:t>April 7, 2023</w:t>
      </w:r>
      <w:r w:rsidR="1CF9BC55">
        <w:t>,</w:t>
      </w:r>
      <w:r w:rsidR="585D25EA">
        <w:t xml:space="preserve"> and</w:t>
      </w:r>
      <w:r>
        <w:t xml:space="preserve"> subject to change based on HUD’s annually published bases. </w:t>
      </w:r>
    </w:p>
    <w:p w14:paraId="7761B378" w14:textId="77777777" w:rsidR="007E5BF0" w:rsidRDefault="007E5BF0" w:rsidP="007E5BF0"/>
    <w:p w14:paraId="7A2EFC20" w14:textId="77777777" w:rsidR="007E5BF0" w:rsidRDefault="15D4CFDC" w:rsidP="007E5BF0">
      <w:pPr>
        <w:pStyle w:val="TableCaption"/>
      </w:pPr>
      <w:bookmarkStart w:id="107" w:name="_Toc70505205"/>
      <w:bookmarkStart w:id="108" w:name="_Toc73081453"/>
      <w:r>
        <w:t>Table AP-5 – HOME and HTF Maximum per Unit Subsidies</w:t>
      </w:r>
      <w:bookmarkEnd w:id="107"/>
      <w:bookmarkEnd w:id="108"/>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HOME and HTF Maximum per Unit Subsidies (Table AP-5)"/>
        <w:tblDescription w:val="This table shows maximum per unit subsidies under the HOME and Housing Trust Fund programs."/>
      </w:tblPr>
      <w:tblGrid>
        <w:gridCol w:w="3732"/>
        <w:gridCol w:w="2513"/>
        <w:gridCol w:w="3377"/>
      </w:tblGrid>
      <w:tr w:rsidR="007E5BF0" w:rsidRPr="00A14F81" w14:paraId="514CB592" w14:textId="77777777" w:rsidTr="6EE14823">
        <w:trPr>
          <w:trHeight w:val="170"/>
        </w:trPr>
        <w:tc>
          <w:tcPr>
            <w:tcW w:w="3732" w:type="dxa"/>
            <w:shd w:val="clear" w:color="auto" w:fill="C5D4D5"/>
            <w:noWrap/>
            <w:vAlign w:val="center"/>
            <w:hideMark/>
          </w:tcPr>
          <w:p w14:paraId="778B4970" w14:textId="77777777" w:rsidR="007E5BF0" w:rsidRPr="006C6D26" w:rsidRDefault="007E5BF0" w:rsidP="0044257C">
            <w:pPr>
              <w:jc w:val="center"/>
              <w:rPr>
                <w:rFonts w:eastAsia="Times New Roman" w:cstheme="minorHAnsi"/>
                <w:b/>
                <w:bCs/>
                <w:color w:val="000000"/>
                <w:sz w:val="20"/>
                <w:szCs w:val="20"/>
              </w:rPr>
            </w:pPr>
            <w:r w:rsidRPr="006C6D26">
              <w:rPr>
                <w:rFonts w:eastAsia="Times New Roman" w:cstheme="minorHAnsi"/>
                <w:b/>
                <w:bCs/>
                <w:color w:val="000000"/>
                <w:sz w:val="20"/>
                <w:szCs w:val="20"/>
              </w:rPr>
              <w:t>Bedrooms</w:t>
            </w:r>
          </w:p>
        </w:tc>
        <w:tc>
          <w:tcPr>
            <w:tcW w:w="2513" w:type="dxa"/>
            <w:shd w:val="clear" w:color="auto" w:fill="C5D4D5"/>
            <w:vAlign w:val="center"/>
            <w:hideMark/>
          </w:tcPr>
          <w:p w14:paraId="358D4A98" w14:textId="77777777" w:rsidR="007E5BF0" w:rsidRPr="006C6D26" w:rsidRDefault="007E5BF0" w:rsidP="0044257C">
            <w:pPr>
              <w:jc w:val="center"/>
              <w:rPr>
                <w:rFonts w:eastAsia="Times New Roman" w:cstheme="minorHAnsi"/>
                <w:b/>
                <w:bCs/>
                <w:color w:val="000000"/>
                <w:sz w:val="20"/>
                <w:szCs w:val="20"/>
              </w:rPr>
            </w:pPr>
            <w:r w:rsidRPr="006C6D26">
              <w:rPr>
                <w:rFonts w:eastAsia="Times New Roman" w:cstheme="minorHAnsi"/>
                <w:b/>
                <w:bCs/>
                <w:color w:val="000000"/>
                <w:sz w:val="20"/>
                <w:szCs w:val="20"/>
              </w:rPr>
              <w:t>Base</w:t>
            </w:r>
            <w:r>
              <w:rPr>
                <w:rStyle w:val="FootnoteReference"/>
                <w:rFonts w:eastAsia="Times New Roman" w:cstheme="minorHAnsi"/>
                <w:b/>
                <w:bCs/>
                <w:color w:val="000000"/>
                <w:sz w:val="20"/>
                <w:szCs w:val="20"/>
              </w:rPr>
              <w:footnoteReference w:id="3"/>
            </w:r>
          </w:p>
        </w:tc>
        <w:tc>
          <w:tcPr>
            <w:tcW w:w="3377" w:type="dxa"/>
            <w:shd w:val="clear" w:color="auto" w:fill="C5D4D5"/>
            <w:vAlign w:val="center"/>
            <w:hideMark/>
          </w:tcPr>
          <w:p w14:paraId="08737B45" w14:textId="77777777" w:rsidR="007E5BF0" w:rsidRPr="006C6D26" w:rsidRDefault="007E5BF0" w:rsidP="0044257C">
            <w:pPr>
              <w:jc w:val="center"/>
              <w:rPr>
                <w:rFonts w:eastAsia="Times New Roman" w:cstheme="minorHAnsi"/>
                <w:b/>
                <w:bCs/>
                <w:color w:val="000000"/>
                <w:sz w:val="20"/>
                <w:szCs w:val="20"/>
              </w:rPr>
            </w:pPr>
            <w:r w:rsidRPr="006C6D26">
              <w:rPr>
                <w:rFonts w:eastAsia="Times New Roman" w:cstheme="minorHAnsi"/>
                <w:b/>
                <w:bCs/>
                <w:color w:val="000000"/>
                <w:sz w:val="20"/>
                <w:szCs w:val="20"/>
              </w:rPr>
              <w:t>Total Subsidy</w:t>
            </w:r>
          </w:p>
        </w:tc>
      </w:tr>
      <w:tr w:rsidR="007E5BF0" w:rsidRPr="00A14F81" w14:paraId="7E321F9E" w14:textId="77777777" w:rsidTr="6EE14823">
        <w:trPr>
          <w:trHeight w:val="210"/>
        </w:trPr>
        <w:tc>
          <w:tcPr>
            <w:tcW w:w="3732" w:type="dxa"/>
            <w:shd w:val="clear" w:color="auto" w:fill="DDE6E7"/>
            <w:noWrap/>
            <w:vAlign w:val="bottom"/>
            <w:hideMark/>
          </w:tcPr>
          <w:p w14:paraId="06DE8207" w14:textId="77777777" w:rsidR="007E5BF0" w:rsidRPr="006C6D26" w:rsidRDefault="007E5BF0" w:rsidP="0044257C">
            <w:pPr>
              <w:jc w:val="center"/>
              <w:rPr>
                <w:rFonts w:eastAsia="Times New Roman" w:cstheme="minorHAnsi"/>
                <w:color w:val="000000"/>
                <w:sz w:val="20"/>
                <w:szCs w:val="20"/>
              </w:rPr>
            </w:pPr>
            <w:r w:rsidRPr="006C6D26">
              <w:rPr>
                <w:rFonts w:eastAsia="Times New Roman" w:cstheme="minorHAnsi"/>
                <w:color w:val="000000"/>
                <w:sz w:val="20"/>
                <w:szCs w:val="20"/>
              </w:rPr>
              <w:t>0</w:t>
            </w:r>
          </w:p>
        </w:tc>
        <w:tc>
          <w:tcPr>
            <w:tcW w:w="2513" w:type="dxa"/>
            <w:shd w:val="clear" w:color="auto" w:fill="auto"/>
            <w:noWrap/>
            <w:vAlign w:val="bottom"/>
            <w:hideMark/>
          </w:tcPr>
          <w:p w14:paraId="212EEDCF" w14:textId="2928AC62" w:rsidR="007E5BF0" w:rsidRPr="006C6D26" w:rsidRDefault="3830B9D6" w:rsidP="6EE14823">
            <w:pPr>
              <w:jc w:val="center"/>
              <w:rPr>
                <w:rFonts w:eastAsia="Times New Roman"/>
                <w:color w:val="000000"/>
                <w:sz w:val="20"/>
                <w:szCs w:val="20"/>
              </w:rPr>
            </w:pPr>
            <w:r w:rsidRPr="6EE14823">
              <w:rPr>
                <w:rFonts w:eastAsia="Times New Roman"/>
                <w:color w:val="000000" w:themeColor="text1"/>
                <w:sz w:val="20"/>
                <w:szCs w:val="20"/>
              </w:rPr>
              <w:t xml:space="preserve">$72,088 </w:t>
            </w:r>
            <w:r w:rsidR="1664CBFB" w:rsidRPr="6EE14823">
              <w:rPr>
                <w:rFonts w:eastAsia="Times New Roman"/>
                <w:color w:val="000000" w:themeColor="text1"/>
                <w:sz w:val="20"/>
                <w:szCs w:val="20"/>
              </w:rPr>
              <w:t>X 240%</w:t>
            </w:r>
          </w:p>
        </w:tc>
        <w:tc>
          <w:tcPr>
            <w:tcW w:w="3377" w:type="dxa"/>
            <w:shd w:val="clear" w:color="auto" w:fill="auto"/>
            <w:noWrap/>
            <w:vAlign w:val="bottom"/>
            <w:hideMark/>
          </w:tcPr>
          <w:p w14:paraId="2065D892" w14:textId="1E173F92" w:rsidR="007E5BF0" w:rsidRPr="006C6D26" w:rsidRDefault="02B7B99A" w:rsidP="6EE14823">
            <w:pPr>
              <w:jc w:val="center"/>
              <w:rPr>
                <w:rFonts w:eastAsia="Times New Roman"/>
                <w:color w:val="000000"/>
                <w:sz w:val="20"/>
                <w:szCs w:val="20"/>
              </w:rPr>
            </w:pPr>
            <w:r w:rsidRPr="6EE14823">
              <w:rPr>
                <w:rFonts w:eastAsia="Times New Roman"/>
                <w:color w:val="000000" w:themeColor="text1"/>
                <w:sz w:val="20"/>
                <w:szCs w:val="20"/>
              </w:rPr>
              <w:t>$</w:t>
            </w:r>
            <w:r w:rsidR="3830B9D6" w:rsidRPr="6EE14823">
              <w:rPr>
                <w:rFonts w:eastAsia="Times New Roman"/>
                <w:color w:val="000000" w:themeColor="text1"/>
                <w:sz w:val="20"/>
                <w:szCs w:val="20"/>
              </w:rPr>
              <w:t>173,011</w:t>
            </w:r>
          </w:p>
        </w:tc>
      </w:tr>
      <w:tr w:rsidR="007E5BF0" w:rsidRPr="00A14F81" w14:paraId="05369374" w14:textId="77777777" w:rsidTr="6EE14823">
        <w:trPr>
          <w:trHeight w:val="210"/>
        </w:trPr>
        <w:tc>
          <w:tcPr>
            <w:tcW w:w="3732" w:type="dxa"/>
            <w:shd w:val="clear" w:color="auto" w:fill="DDE6E7"/>
            <w:noWrap/>
            <w:vAlign w:val="bottom"/>
            <w:hideMark/>
          </w:tcPr>
          <w:p w14:paraId="63F3F4A5" w14:textId="77777777" w:rsidR="007E5BF0" w:rsidRPr="006C6D26" w:rsidRDefault="007E5BF0" w:rsidP="0044257C">
            <w:pPr>
              <w:jc w:val="center"/>
              <w:rPr>
                <w:rFonts w:eastAsia="Times New Roman" w:cstheme="minorHAnsi"/>
                <w:color w:val="000000"/>
                <w:sz w:val="20"/>
                <w:szCs w:val="20"/>
              </w:rPr>
            </w:pPr>
            <w:r w:rsidRPr="006C6D26">
              <w:rPr>
                <w:rFonts w:eastAsia="Times New Roman" w:cstheme="minorHAnsi"/>
                <w:color w:val="000000"/>
                <w:sz w:val="20"/>
                <w:szCs w:val="20"/>
              </w:rPr>
              <w:t>1</w:t>
            </w:r>
          </w:p>
        </w:tc>
        <w:tc>
          <w:tcPr>
            <w:tcW w:w="2513" w:type="dxa"/>
            <w:shd w:val="clear" w:color="auto" w:fill="auto"/>
            <w:noWrap/>
            <w:vAlign w:val="bottom"/>
            <w:hideMark/>
          </w:tcPr>
          <w:p w14:paraId="20FD4EB6" w14:textId="5AAAA415" w:rsidR="007E5BF0" w:rsidRPr="006C6D26" w:rsidRDefault="02B7B99A" w:rsidP="6EE14823">
            <w:pPr>
              <w:jc w:val="center"/>
              <w:rPr>
                <w:rFonts w:eastAsia="Times New Roman"/>
                <w:color w:val="000000"/>
                <w:sz w:val="20"/>
                <w:szCs w:val="20"/>
              </w:rPr>
            </w:pPr>
            <w:r w:rsidRPr="6EE14823">
              <w:rPr>
                <w:rFonts w:eastAsia="Times New Roman"/>
                <w:color w:val="000000" w:themeColor="text1"/>
                <w:sz w:val="20"/>
                <w:szCs w:val="20"/>
              </w:rPr>
              <w:t>$</w:t>
            </w:r>
            <w:r w:rsidR="3830B9D6" w:rsidRPr="6EE14823">
              <w:rPr>
                <w:rFonts w:eastAsia="Times New Roman"/>
                <w:color w:val="000000" w:themeColor="text1"/>
                <w:sz w:val="20"/>
                <w:szCs w:val="20"/>
              </w:rPr>
              <w:t>82,638</w:t>
            </w:r>
            <w:r w:rsidR="1664CBFB" w:rsidRPr="6EE14823">
              <w:rPr>
                <w:rFonts w:eastAsia="Times New Roman"/>
                <w:color w:val="000000" w:themeColor="text1"/>
                <w:sz w:val="20"/>
                <w:szCs w:val="20"/>
              </w:rPr>
              <w:t xml:space="preserve"> X 240%</w:t>
            </w:r>
          </w:p>
        </w:tc>
        <w:tc>
          <w:tcPr>
            <w:tcW w:w="3377" w:type="dxa"/>
            <w:shd w:val="clear" w:color="auto" w:fill="auto"/>
            <w:noWrap/>
            <w:vAlign w:val="bottom"/>
            <w:hideMark/>
          </w:tcPr>
          <w:p w14:paraId="30C15DC1" w14:textId="492CB91A" w:rsidR="007E5BF0" w:rsidRPr="006C6D26" w:rsidRDefault="02B7B99A" w:rsidP="6EE14823">
            <w:pPr>
              <w:jc w:val="center"/>
              <w:rPr>
                <w:rFonts w:eastAsia="Times New Roman"/>
                <w:color w:val="000000"/>
                <w:sz w:val="20"/>
                <w:szCs w:val="20"/>
              </w:rPr>
            </w:pPr>
            <w:r w:rsidRPr="6EE14823">
              <w:rPr>
                <w:rFonts w:eastAsia="Times New Roman"/>
                <w:color w:val="000000" w:themeColor="text1"/>
                <w:sz w:val="20"/>
                <w:szCs w:val="20"/>
              </w:rPr>
              <w:t>$</w:t>
            </w:r>
            <w:r w:rsidR="3830B9D6" w:rsidRPr="6EE14823">
              <w:rPr>
                <w:rFonts w:eastAsia="Times New Roman"/>
                <w:color w:val="000000" w:themeColor="text1"/>
                <w:sz w:val="20"/>
                <w:szCs w:val="20"/>
              </w:rPr>
              <w:t>198,331</w:t>
            </w:r>
          </w:p>
        </w:tc>
      </w:tr>
      <w:tr w:rsidR="007E5BF0" w:rsidRPr="00A14F81" w14:paraId="1B95AA0B" w14:textId="77777777" w:rsidTr="6EE14823">
        <w:trPr>
          <w:trHeight w:val="210"/>
        </w:trPr>
        <w:tc>
          <w:tcPr>
            <w:tcW w:w="3732" w:type="dxa"/>
            <w:shd w:val="clear" w:color="auto" w:fill="DDE6E7"/>
            <w:noWrap/>
            <w:vAlign w:val="bottom"/>
            <w:hideMark/>
          </w:tcPr>
          <w:p w14:paraId="19C3708E" w14:textId="77777777" w:rsidR="007E5BF0" w:rsidRPr="006C6D26" w:rsidRDefault="007E5BF0" w:rsidP="0044257C">
            <w:pPr>
              <w:jc w:val="center"/>
              <w:rPr>
                <w:rFonts w:eastAsia="Times New Roman" w:cstheme="minorHAnsi"/>
                <w:color w:val="000000"/>
                <w:sz w:val="20"/>
                <w:szCs w:val="20"/>
              </w:rPr>
            </w:pPr>
            <w:r w:rsidRPr="006C6D26">
              <w:rPr>
                <w:rFonts w:eastAsia="Times New Roman" w:cstheme="minorHAnsi"/>
                <w:color w:val="000000"/>
                <w:sz w:val="20"/>
                <w:szCs w:val="20"/>
              </w:rPr>
              <w:t>2</w:t>
            </w:r>
          </w:p>
        </w:tc>
        <w:tc>
          <w:tcPr>
            <w:tcW w:w="2513" w:type="dxa"/>
            <w:shd w:val="clear" w:color="auto" w:fill="auto"/>
            <w:noWrap/>
            <w:vAlign w:val="bottom"/>
            <w:hideMark/>
          </w:tcPr>
          <w:p w14:paraId="79C1BFE3" w14:textId="1C2D45F3" w:rsidR="007E5BF0" w:rsidRPr="006C6D26" w:rsidRDefault="02B7B99A" w:rsidP="6EE14823">
            <w:pPr>
              <w:jc w:val="center"/>
              <w:rPr>
                <w:rFonts w:eastAsia="Times New Roman"/>
                <w:color w:val="000000"/>
                <w:sz w:val="20"/>
                <w:szCs w:val="20"/>
              </w:rPr>
            </w:pPr>
            <w:r w:rsidRPr="6EE14823">
              <w:rPr>
                <w:rFonts w:eastAsia="Times New Roman"/>
                <w:color w:val="000000" w:themeColor="text1"/>
                <w:sz w:val="20"/>
                <w:szCs w:val="20"/>
              </w:rPr>
              <w:t>$</w:t>
            </w:r>
            <w:r w:rsidR="3830B9D6" w:rsidRPr="6EE14823">
              <w:rPr>
                <w:rFonts w:eastAsia="Times New Roman"/>
                <w:color w:val="000000" w:themeColor="text1"/>
                <w:sz w:val="20"/>
                <w:szCs w:val="20"/>
              </w:rPr>
              <w:t>100,490</w:t>
            </w:r>
            <w:r w:rsidR="1664CBFB" w:rsidRPr="6EE14823">
              <w:rPr>
                <w:rFonts w:eastAsia="Times New Roman"/>
                <w:color w:val="000000" w:themeColor="text1"/>
                <w:sz w:val="20"/>
                <w:szCs w:val="20"/>
              </w:rPr>
              <w:t xml:space="preserve"> X 240%</w:t>
            </w:r>
          </w:p>
        </w:tc>
        <w:tc>
          <w:tcPr>
            <w:tcW w:w="3377" w:type="dxa"/>
            <w:shd w:val="clear" w:color="auto" w:fill="auto"/>
            <w:noWrap/>
            <w:vAlign w:val="bottom"/>
            <w:hideMark/>
          </w:tcPr>
          <w:p w14:paraId="18EB7289" w14:textId="0134C334" w:rsidR="007E5BF0" w:rsidRPr="006C6D26" w:rsidRDefault="02B7B99A" w:rsidP="6EE14823">
            <w:pPr>
              <w:jc w:val="center"/>
              <w:rPr>
                <w:rFonts w:eastAsia="Times New Roman"/>
                <w:color w:val="000000"/>
                <w:sz w:val="20"/>
                <w:szCs w:val="20"/>
              </w:rPr>
            </w:pPr>
            <w:r w:rsidRPr="6EE14823">
              <w:rPr>
                <w:rFonts w:eastAsia="Times New Roman"/>
                <w:color w:val="000000" w:themeColor="text1"/>
                <w:sz w:val="20"/>
                <w:szCs w:val="20"/>
              </w:rPr>
              <w:t>$</w:t>
            </w:r>
            <w:r w:rsidR="3830B9D6" w:rsidRPr="6EE14823">
              <w:rPr>
                <w:rFonts w:eastAsia="Times New Roman"/>
                <w:color w:val="000000" w:themeColor="text1"/>
                <w:sz w:val="20"/>
                <w:szCs w:val="20"/>
              </w:rPr>
              <w:t>241,176</w:t>
            </w:r>
          </w:p>
        </w:tc>
      </w:tr>
      <w:tr w:rsidR="007E5BF0" w:rsidRPr="00A14F81" w14:paraId="329267C0" w14:textId="77777777" w:rsidTr="6EE14823">
        <w:trPr>
          <w:trHeight w:val="210"/>
        </w:trPr>
        <w:tc>
          <w:tcPr>
            <w:tcW w:w="3732" w:type="dxa"/>
            <w:shd w:val="clear" w:color="auto" w:fill="DDE6E7"/>
            <w:noWrap/>
            <w:vAlign w:val="bottom"/>
            <w:hideMark/>
          </w:tcPr>
          <w:p w14:paraId="57A92B48" w14:textId="77777777" w:rsidR="007E5BF0" w:rsidRPr="006C6D26" w:rsidRDefault="007E5BF0" w:rsidP="0044257C">
            <w:pPr>
              <w:jc w:val="center"/>
              <w:rPr>
                <w:rFonts w:eastAsia="Times New Roman" w:cstheme="minorHAnsi"/>
                <w:color w:val="000000"/>
                <w:sz w:val="20"/>
                <w:szCs w:val="20"/>
              </w:rPr>
            </w:pPr>
            <w:r w:rsidRPr="006C6D26">
              <w:rPr>
                <w:rFonts w:eastAsia="Times New Roman" w:cstheme="minorHAnsi"/>
                <w:color w:val="000000"/>
                <w:sz w:val="20"/>
                <w:szCs w:val="20"/>
              </w:rPr>
              <w:t>3</w:t>
            </w:r>
          </w:p>
        </w:tc>
        <w:tc>
          <w:tcPr>
            <w:tcW w:w="2513" w:type="dxa"/>
            <w:shd w:val="clear" w:color="auto" w:fill="auto"/>
            <w:noWrap/>
            <w:vAlign w:val="bottom"/>
            <w:hideMark/>
          </w:tcPr>
          <w:p w14:paraId="0FEE4758" w14:textId="71007A88" w:rsidR="007E5BF0" w:rsidRPr="006C6D26" w:rsidRDefault="02B7B99A" w:rsidP="6EE14823">
            <w:pPr>
              <w:jc w:val="center"/>
              <w:rPr>
                <w:rFonts w:eastAsia="Times New Roman"/>
                <w:color w:val="000000"/>
                <w:sz w:val="20"/>
                <w:szCs w:val="20"/>
              </w:rPr>
            </w:pPr>
            <w:r w:rsidRPr="6EE14823">
              <w:rPr>
                <w:rFonts w:eastAsia="Times New Roman"/>
                <w:color w:val="000000" w:themeColor="text1"/>
                <w:sz w:val="20"/>
                <w:szCs w:val="20"/>
              </w:rPr>
              <w:t>$</w:t>
            </w:r>
            <w:r w:rsidR="3830B9D6" w:rsidRPr="6EE14823">
              <w:rPr>
                <w:rFonts w:eastAsia="Times New Roman"/>
                <w:color w:val="000000" w:themeColor="text1"/>
                <w:sz w:val="20"/>
                <w:szCs w:val="20"/>
              </w:rPr>
              <w:t>130,002</w:t>
            </w:r>
            <w:r w:rsidR="1664CBFB" w:rsidRPr="6EE14823">
              <w:rPr>
                <w:rFonts w:eastAsia="Times New Roman"/>
                <w:color w:val="000000" w:themeColor="text1"/>
                <w:sz w:val="20"/>
                <w:szCs w:val="20"/>
              </w:rPr>
              <w:t xml:space="preserve"> X 240%</w:t>
            </w:r>
          </w:p>
        </w:tc>
        <w:tc>
          <w:tcPr>
            <w:tcW w:w="3377" w:type="dxa"/>
            <w:shd w:val="clear" w:color="auto" w:fill="auto"/>
            <w:noWrap/>
            <w:vAlign w:val="bottom"/>
            <w:hideMark/>
          </w:tcPr>
          <w:p w14:paraId="4333BACF" w14:textId="54F630AE" w:rsidR="007E5BF0" w:rsidRPr="006C6D26" w:rsidRDefault="02B7B99A" w:rsidP="6EE14823">
            <w:pPr>
              <w:jc w:val="center"/>
              <w:rPr>
                <w:rFonts w:eastAsia="Times New Roman"/>
                <w:color w:val="000000"/>
                <w:sz w:val="20"/>
                <w:szCs w:val="20"/>
              </w:rPr>
            </w:pPr>
            <w:r w:rsidRPr="6EE14823">
              <w:rPr>
                <w:rFonts w:eastAsia="Times New Roman"/>
                <w:color w:val="000000" w:themeColor="text1"/>
                <w:sz w:val="20"/>
                <w:szCs w:val="20"/>
              </w:rPr>
              <w:t>$</w:t>
            </w:r>
            <w:r w:rsidR="3830B9D6" w:rsidRPr="6EE14823">
              <w:rPr>
                <w:rFonts w:eastAsia="Times New Roman"/>
                <w:color w:val="000000" w:themeColor="text1"/>
                <w:sz w:val="20"/>
                <w:szCs w:val="20"/>
              </w:rPr>
              <w:t>312,005</w:t>
            </w:r>
          </w:p>
        </w:tc>
      </w:tr>
      <w:tr w:rsidR="007E5BF0" w:rsidRPr="00A14F81" w14:paraId="35B54C1B" w14:textId="77777777" w:rsidTr="6EE14823">
        <w:trPr>
          <w:trHeight w:val="210"/>
        </w:trPr>
        <w:tc>
          <w:tcPr>
            <w:tcW w:w="3732" w:type="dxa"/>
            <w:shd w:val="clear" w:color="auto" w:fill="DDE6E7"/>
            <w:noWrap/>
            <w:vAlign w:val="bottom"/>
            <w:hideMark/>
          </w:tcPr>
          <w:p w14:paraId="35A2EE58" w14:textId="77777777" w:rsidR="007E5BF0" w:rsidRPr="006C6D26" w:rsidRDefault="007E5BF0" w:rsidP="0044257C">
            <w:pPr>
              <w:jc w:val="center"/>
              <w:rPr>
                <w:rFonts w:eastAsia="Times New Roman" w:cstheme="minorHAnsi"/>
                <w:color w:val="000000"/>
                <w:sz w:val="20"/>
                <w:szCs w:val="20"/>
              </w:rPr>
            </w:pPr>
            <w:r w:rsidRPr="006C6D26">
              <w:rPr>
                <w:rFonts w:eastAsia="Times New Roman" w:cstheme="minorHAnsi"/>
                <w:color w:val="000000"/>
                <w:sz w:val="20"/>
                <w:szCs w:val="20"/>
              </w:rPr>
              <w:t>4+</w:t>
            </w:r>
          </w:p>
        </w:tc>
        <w:tc>
          <w:tcPr>
            <w:tcW w:w="2513" w:type="dxa"/>
            <w:shd w:val="clear" w:color="auto" w:fill="auto"/>
            <w:noWrap/>
            <w:vAlign w:val="bottom"/>
            <w:hideMark/>
          </w:tcPr>
          <w:p w14:paraId="469E6548" w14:textId="51ABB85F" w:rsidR="007E5BF0" w:rsidRPr="006C6D26" w:rsidRDefault="02B7B99A" w:rsidP="6EE14823">
            <w:pPr>
              <w:jc w:val="center"/>
              <w:rPr>
                <w:rFonts w:eastAsia="Times New Roman"/>
                <w:color w:val="000000"/>
                <w:sz w:val="20"/>
                <w:szCs w:val="20"/>
              </w:rPr>
            </w:pPr>
            <w:r w:rsidRPr="6EE14823">
              <w:rPr>
                <w:rFonts w:eastAsia="Times New Roman"/>
                <w:color w:val="000000" w:themeColor="text1"/>
                <w:sz w:val="20"/>
                <w:szCs w:val="20"/>
              </w:rPr>
              <w:t>$</w:t>
            </w:r>
            <w:r w:rsidR="3830B9D6" w:rsidRPr="6EE14823">
              <w:rPr>
                <w:rFonts w:eastAsia="Times New Roman"/>
                <w:color w:val="000000" w:themeColor="text1"/>
                <w:sz w:val="20"/>
                <w:szCs w:val="20"/>
              </w:rPr>
              <w:t>142,701</w:t>
            </w:r>
            <w:r w:rsidR="1664CBFB" w:rsidRPr="6EE14823">
              <w:rPr>
                <w:rFonts w:eastAsia="Times New Roman"/>
                <w:color w:val="000000" w:themeColor="text1"/>
                <w:sz w:val="20"/>
                <w:szCs w:val="20"/>
              </w:rPr>
              <w:t xml:space="preserve"> X 240%</w:t>
            </w:r>
          </w:p>
        </w:tc>
        <w:tc>
          <w:tcPr>
            <w:tcW w:w="3377" w:type="dxa"/>
            <w:shd w:val="clear" w:color="auto" w:fill="auto"/>
            <w:noWrap/>
            <w:vAlign w:val="bottom"/>
            <w:hideMark/>
          </w:tcPr>
          <w:p w14:paraId="45A067A7" w14:textId="18875B8A" w:rsidR="007E5BF0" w:rsidRPr="006C6D26" w:rsidRDefault="02B7B99A" w:rsidP="6EE14823">
            <w:pPr>
              <w:jc w:val="center"/>
              <w:rPr>
                <w:rFonts w:eastAsia="Times New Roman"/>
                <w:color w:val="000000"/>
                <w:sz w:val="20"/>
                <w:szCs w:val="20"/>
              </w:rPr>
            </w:pPr>
            <w:r w:rsidRPr="6EE14823">
              <w:rPr>
                <w:rFonts w:eastAsia="Times New Roman"/>
                <w:color w:val="000000" w:themeColor="text1"/>
                <w:sz w:val="20"/>
                <w:szCs w:val="20"/>
              </w:rPr>
              <w:t>$</w:t>
            </w:r>
            <w:r w:rsidR="3830B9D6" w:rsidRPr="6EE14823">
              <w:rPr>
                <w:rFonts w:eastAsia="Times New Roman"/>
                <w:color w:val="000000" w:themeColor="text1"/>
                <w:sz w:val="20"/>
                <w:szCs w:val="20"/>
              </w:rPr>
              <w:t>342,482</w:t>
            </w:r>
          </w:p>
        </w:tc>
      </w:tr>
    </w:tbl>
    <w:p w14:paraId="07358ADE" w14:textId="77777777" w:rsidR="007E5BF0" w:rsidRPr="006C6D26" w:rsidRDefault="007E5BF0" w:rsidP="007E5BF0"/>
    <w:p w14:paraId="2C1D1F12" w14:textId="77777777" w:rsidR="007E5BF0" w:rsidRDefault="007E5BF0" w:rsidP="007E5BF0">
      <w:pPr>
        <w:pStyle w:val="Heading4"/>
      </w:pPr>
      <w:r>
        <w:t xml:space="preserve">8. </w:t>
      </w:r>
      <w:r w:rsidRPr="002B298D">
        <w:t>Rehabilitation Standards</w:t>
      </w:r>
      <w:r>
        <w:rPr>
          <w:b/>
        </w:rPr>
        <w:t>.</w:t>
      </w:r>
      <w:r>
        <w:t xml:space="preserve"> </w:t>
      </w:r>
    </w:p>
    <w:p w14:paraId="743DC6C2" w14:textId="77777777" w:rsidR="007E5BF0" w:rsidRDefault="007E5BF0" w:rsidP="007E5BF0">
      <w:pPr>
        <w:pStyle w:val="InstructionalTextSubheading"/>
      </w:pPr>
      <w:r>
        <w:t>The grantee must establish rehabilitation standards for all HTF-assisted housing rehabilitation activities that set forth the requirements that the housing must meet upon project completion. The grantee’s description of its standards must be in sufficient detail to determine the required rehabilitation work including methods and materials. The standards may refer to applicable codes or they may establish requirements that exceed the minimum requirements of the codes. The grantee must attach its rehabilitation standards below.</w:t>
      </w:r>
    </w:p>
    <w:p w14:paraId="00FEFCC9" w14:textId="77777777" w:rsidR="007E5BF0" w:rsidRPr="00D23620" w:rsidRDefault="007E5BF0" w:rsidP="007E5BF0"/>
    <w:p w14:paraId="51346BAF" w14:textId="77777777" w:rsidR="007E5BF0" w:rsidRDefault="007E5BF0" w:rsidP="007E5BF0">
      <w:pPr>
        <w:pStyle w:val="InstructionalTextSubheading"/>
      </w:pPr>
      <w:r>
        <w:t>In addition, the rehabilitation standards must address each of the following: health and safety; major systems; lead-based paint; accessibility; disaster mitigation (where relevant); state and local codes, ordinances, and zoning requirements; Uniform Physical Condition Standards; and Capital Needs Assessments (if applicable).</w:t>
      </w:r>
    </w:p>
    <w:p w14:paraId="6313E90C" w14:textId="529F6211" w:rsidR="007E5BF0" w:rsidRDefault="15D4CFDC" w:rsidP="007E5BF0">
      <w:r>
        <w:t>Commerce established rehabilitation standards for all housing units rehabilitated with HTF funds (see Appendix J</w:t>
      </w:r>
      <w:r w:rsidR="523BA1D5">
        <w:t xml:space="preserve"> in the 2020-2024 Consolidated Plan</w:t>
      </w:r>
      <w:r>
        <w:t>).</w:t>
      </w:r>
    </w:p>
    <w:p w14:paraId="0DE059D0" w14:textId="77777777" w:rsidR="007E5BF0" w:rsidRDefault="007E5BF0" w:rsidP="007E5BF0"/>
    <w:p w14:paraId="72E23BFA" w14:textId="304D1118" w:rsidR="007E5BF0" w:rsidRDefault="007E5BF0" w:rsidP="007E5BF0">
      <w:r>
        <w:t xml:space="preserve">The recipient and subgrantee will be required to follow all rehabilitation standards as set forth in 24 </w:t>
      </w:r>
      <w:r w:rsidR="00499BE7">
        <w:t xml:space="preserve">CFR </w:t>
      </w:r>
      <w:r>
        <w:t xml:space="preserve">93.301(b) and Appendix J of </w:t>
      </w:r>
      <w:r w:rsidR="00E50AF3">
        <w:t>the 2020-2024 Consolidated Plan</w:t>
      </w:r>
      <w:r>
        <w:t xml:space="preserve">, which include but are not limited to: </w:t>
      </w:r>
    </w:p>
    <w:p w14:paraId="6C23E798" w14:textId="77777777" w:rsidR="007E5BF0" w:rsidRDefault="007E5BF0" w:rsidP="007E5BF0">
      <w:pPr>
        <w:pStyle w:val="ListParagraph"/>
        <w:numPr>
          <w:ilvl w:val="0"/>
          <w:numId w:val="22"/>
        </w:numPr>
      </w:pPr>
      <w:r>
        <w:t xml:space="preserve">Applicants are strongly encouraged, to the maximum extent possible, to adopt smoke-free requirements in all housing units and include the three basic </w:t>
      </w:r>
      <w:proofErr w:type="spellStart"/>
      <w:r>
        <w:t>visitability</w:t>
      </w:r>
      <w:proofErr w:type="spellEnd"/>
      <w:r>
        <w:t xml:space="preserve"> features that increase access to friends and family for individuals with disabilities (a zero-step entrance, doors with 32 inches of clear passage space, and a wheelchair-accessible half-bathroom on the main floor).</w:t>
      </w:r>
    </w:p>
    <w:p w14:paraId="3878A323" w14:textId="77777777" w:rsidR="007E5BF0" w:rsidRDefault="007E5BF0" w:rsidP="007E5BF0">
      <w:pPr>
        <w:pStyle w:val="ListParagraph"/>
        <w:numPr>
          <w:ilvl w:val="0"/>
          <w:numId w:val="22"/>
        </w:numPr>
      </w:pPr>
      <w:r>
        <w:t xml:space="preserve">Substandard not suitable for rehabilitation means any housing unit or a building containing housing units where the estimated cost of making the needed replacements and repairs is </w:t>
      </w:r>
      <w:r>
        <w:lastRenderedPageBreak/>
        <w:t>greater than or equal to 75% of the estimated cost of new construction of a comparable unit or units.</w:t>
      </w:r>
    </w:p>
    <w:p w14:paraId="0717455E" w14:textId="77777777" w:rsidR="007E5BF0" w:rsidRDefault="007E5BF0" w:rsidP="007E5BF0">
      <w:pPr>
        <w:pStyle w:val="ListParagraph"/>
        <w:numPr>
          <w:ilvl w:val="0"/>
          <w:numId w:val="22"/>
        </w:numPr>
      </w:pPr>
      <w:r>
        <w:t>Substandard suitable for rehabilitation means any housing unit or a building containing housing units where the estimated cost of making necessary replacements and repairs is less than 75% of the estimated cost of new construction of a comparable unit or units.</w:t>
      </w:r>
    </w:p>
    <w:p w14:paraId="22CCDDD9" w14:textId="77777777" w:rsidR="007E5BF0" w:rsidRPr="00D23620" w:rsidRDefault="007E5BF0" w:rsidP="007E5BF0"/>
    <w:p w14:paraId="1C6D3D98" w14:textId="19D66102" w:rsidR="4F856C38" w:rsidRDefault="4F856C38" w:rsidP="2B242364">
      <w:r>
        <w:t>Rehabilitation standards for housing units rehabilitated with HTF funds will be updated to comply with NSPIRE according to HUD’s requirements and established timelines.</w:t>
      </w:r>
    </w:p>
    <w:p w14:paraId="5741D283" w14:textId="468AEB92" w:rsidR="2B242364" w:rsidRDefault="2B242364" w:rsidP="2B242364"/>
    <w:p w14:paraId="2867983D" w14:textId="77777777" w:rsidR="007E5BF0" w:rsidRDefault="007E5BF0" w:rsidP="007E5BF0">
      <w:pPr>
        <w:pStyle w:val="Heading4"/>
      </w:pPr>
      <w:r w:rsidRPr="007A6735">
        <w:t>9. Resale or Recapture Guidelines.</w:t>
      </w:r>
    </w:p>
    <w:p w14:paraId="29481DCD" w14:textId="77777777" w:rsidR="007E5BF0" w:rsidRPr="007A6735" w:rsidRDefault="007E5BF0" w:rsidP="007E5BF0">
      <w:pPr>
        <w:pStyle w:val="InstructionalTextSubheading"/>
      </w:pPr>
      <w:r w:rsidRPr="007A6735">
        <w:t>Below, the grantee must enter (or attach) a description of the guidelines that will be used for resale or recapture of HTF funds when used to assist first-time homebuyers.</w:t>
      </w:r>
      <w:r>
        <w:t xml:space="preserve"> </w:t>
      </w:r>
      <w:r w:rsidRPr="007A6735">
        <w:t>If the grantee will not use HTF funds to assist first-time homebuyers, enter “N/A”.</w:t>
      </w:r>
      <w:r>
        <w:t xml:space="preserve"> </w:t>
      </w:r>
    </w:p>
    <w:p w14:paraId="4EABF972" w14:textId="77777777" w:rsidR="007E5BF0" w:rsidRDefault="007E5BF0" w:rsidP="007E5BF0">
      <w:bookmarkStart w:id="109" w:name="_bookmark21"/>
      <w:bookmarkEnd w:id="109"/>
      <w:r>
        <w:t>N/A</w:t>
      </w:r>
    </w:p>
    <w:p w14:paraId="368D5831" w14:textId="77777777" w:rsidR="007E5BF0" w:rsidRPr="00887EBA" w:rsidRDefault="007E5BF0" w:rsidP="007E5BF0"/>
    <w:p w14:paraId="677D181B" w14:textId="77777777" w:rsidR="007E5BF0" w:rsidRDefault="007E5BF0" w:rsidP="007E5BF0">
      <w:pPr>
        <w:pStyle w:val="Heading4"/>
      </w:pPr>
      <w:r w:rsidRPr="007A6735">
        <w:t xml:space="preserve">10. </w:t>
      </w:r>
      <w:bookmarkStart w:id="110" w:name="_bookmark22"/>
      <w:bookmarkEnd w:id="110"/>
      <w:r w:rsidRPr="007A6735">
        <w:t>HTF Affordable Homeownership Limits.</w:t>
      </w:r>
    </w:p>
    <w:p w14:paraId="4512A883" w14:textId="77777777" w:rsidR="007E5BF0" w:rsidRDefault="007E5BF0" w:rsidP="007E5BF0">
      <w:pPr>
        <w:pStyle w:val="InstructionalTextSubheading"/>
      </w:pPr>
      <w:r w:rsidRPr="007A6735">
        <w:t>If the grantee intends to use HTF funds for homebuyer assistance and does not use the HTF affordable homeownership limits for the area provided by HUD, it must determine 95</w:t>
      </w:r>
      <w:r>
        <w:t>%</w:t>
      </w:r>
      <w:r w:rsidRPr="007A6735">
        <w:t xml:space="preserve"> of the median area purchase price and set forth the information in accordance with §93.305.</w:t>
      </w:r>
      <w:r>
        <w:t xml:space="preserve"> </w:t>
      </w:r>
      <w:r w:rsidRPr="007A6735">
        <w:t>If the grantee will not use HTF funds to assist first-time homebuyers, enter “N/A”.</w:t>
      </w:r>
    </w:p>
    <w:p w14:paraId="77D78839" w14:textId="77777777" w:rsidR="007E5BF0" w:rsidRPr="004D4890" w:rsidRDefault="007E5BF0" w:rsidP="007E5BF0">
      <w:proofErr w:type="gramStart"/>
      <w:r>
        <w:t>[  ]</w:t>
      </w:r>
      <w:proofErr w:type="gramEnd"/>
      <w:r>
        <w:t xml:space="preserve"> </w:t>
      </w:r>
      <w:r w:rsidRPr="004D4890">
        <w:t xml:space="preserve">The grantee will use the HUD issued affordable homeownership limits. </w:t>
      </w:r>
    </w:p>
    <w:p w14:paraId="2291DC5C" w14:textId="77777777" w:rsidR="007E5BF0" w:rsidRDefault="007E5BF0" w:rsidP="007E5BF0">
      <w:proofErr w:type="gramStart"/>
      <w:r>
        <w:t>[  ]</w:t>
      </w:r>
      <w:proofErr w:type="gramEnd"/>
      <w:r>
        <w:t xml:space="preserve"> </w:t>
      </w:r>
      <w:r w:rsidRPr="004D4890">
        <w:t>The grantee has determined its own affordable homeownership limits using the methodology</w:t>
      </w:r>
      <w:r>
        <w:t xml:space="preserve"> described in §93.305(a)(2) and the limits are attached.</w:t>
      </w:r>
    </w:p>
    <w:p w14:paraId="50BF6D65" w14:textId="77777777" w:rsidR="007E5BF0" w:rsidRDefault="007E5BF0" w:rsidP="007E5BF0">
      <w:r>
        <w:t>N/A</w:t>
      </w:r>
    </w:p>
    <w:p w14:paraId="5AD48977" w14:textId="77777777" w:rsidR="007E5BF0" w:rsidRPr="007A6735" w:rsidRDefault="007E5BF0" w:rsidP="007E5BF0"/>
    <w:p w14:paraId="26AA88E7" w14:textId="77777777" w:rsidR="007E5BF0" w:rsidRDefault="007E5BF0" w:rsidP="007E5BF0">
      <w:pPr>
        <w:pStyle w:val="Heading4"/>
      </w:pPr>
      <w:r w:rsidRPr="007A6735">
        <w:t xml:space="preserve">11. </w:t>
      </w:r>
      <w:bookmarkStart w:id="111" w:name="_bookmark23"/>
      <w:bookmarkEnd w:id="111"/>
      <w:r w:rsidRPr="002B298D">
        <w:t>Grantee Limited Beneficiaries or Preferences</w:t>
      </w:r>
      <w:r w:rsidRPr="007A6735">
        <w:t>.</w:t>
      </w:r>
      <w:r>
        <w:t xml:space="preserve"> </w:t>
      </w:r>
    </w:p>
    <w:p w14:paraId="7752C441" w14:textId="77777777" w:rsidR="007E5BF0" w:rsidRPr="007A6735" w:rsidRDefault="007E5BF0" w:rsidP="007E5BF0">
      <w:pPr>
        <w:pStyle w:val="InstructionalTextSubheading"/>
      </w:pPr>
      <w:r w:rsidRPr="007A6735">
        <w:t>Describe how the grantee will limit the beneficiaries or give preferences to a particular segment of the extremely low- or very low-income population to serve unmet needs identified in its consolidated plan or annual action plan.</w:t>
      </w:r>
      <w:r>
        <w:t xml:space="preserve"> </w:t>
      </w:r>
      <w:r w:rsidRPr="007A6735">
        <w:t>If the grantee will not limit the beneficiaries or give preferences to a particular segment of the extremely low- or very low-income population, enter “N/A.”</w:t>
      </w:r>
    </w:p>
    <w:p w14:paraId="3D3FF69D" w14:textId="77777777" w:rsidR="007E5BF0" w:rsidRPr="008B7BA5" w:rsidRDefault="007E5BF0" w:rsidP="007E5BF0"/>
    <w:p w14:paraId="59E4A865" w14:textId="77777777" w:rsidR="007E5BF0" w:rsidRDefault="007E5BF0" w:rsidP="007E5BF0">
      <w:pPr>
        <w:pStyle w:val="InstructionalTextSubheading"/>
      </w:pPr>
      <w:r>
        <w:t xml:space="preserve">Any limitation or </w:t>
      </w:r>
      <w:r w:rsidRPr="001E2F4C">
        <w:t>preference</w:t>
      </w:r>
      <w:r>
        <w:t xml:space="preserve"> must not violate nondiscrimination requirements in § 93.350, and the grantee must not limit or give preferences to students. The grantee may permit rental housing owners to limit tenants or give a preference in accordance with § 93.303(d)(3) only if such limitation or preference is described in the action plan.</w:t>
      </w:r>
    </w:p>
    <w:p w14:paraId="341D0FD8" w14:textId="040A8029" w:rsidR="007E5BF0" w:rsidRPr="00E505E9" w:rsidRDefault="007E5BF0" w:rsidP="007E5BF0">
      <w:r>
        <w:t xml:space="preserve">The Geographic Diversity and Housing Needs Priority requires the applicant to respond to questions to determine the extent to which the applicant demonstrates that the </w:t>
      </w:r>
      <w:r w:rsidR="1428C1D3">
        <w:t xml:space="preserve">HTF award </w:t>
      </w:r>
      <w:r>
        <w:t xml:space="preserve">will consider the extent to which the applicant will produce affordable housing to complement existing federal, state, and local efforts to increase the supply of decent, safe, and sanitary affordable housing for extremely low-income families, particularly </w:t>
      </w:r>
      <w:r w:rsidR="564FF57A">
        <w:t xml:space="preserve">those who are </w:t>
      </w:r>
      <w:r>
        <w:t xml:space="preserve">homeless, disabled, elderly, </w:t>
      </w:r>
      <w:r w:rsidR="1DD82855">
        <w:t xml:space="preserve">or </w:t>
      </w:r>
      <w:r>
        <w:t>other</w:t>
      </w:r>
      <w:r w:rsidR="04335577">
        <w:t>wise</w:t>
      </w:r>
      <w:r>
        <w:t xml:space="preserve"> disadvantaged. </w:t>
      </w:r>
    </w:p>
    <w:p w14:paraId="59F5B38C" w14:textId="77777777" w:rsidR="007E5BF0" w:rsidRPr="008B7BA5" w:rsidRDefault="007E5BF0" w:rsidP="007E5BF0"/>
    <w:p w14:paraId="41F5F925" w14:textId="77777777" w:rsidR="007E5BF0" w:rsidRDefault="007E5BF0" w:rsidP="007E5BF0">
      <w:pPr>
        <w:pStyle w:val="Heading4"/>
      </w:pPr>
      <w:r w:rsidRPr="004462C1">
        <w:t>12. Refinancing of Existing Debt.</w:t>
      </w:r>
      <w:r>
        <w:t xml:space="preserve"> </w:t>
      </w:r>
    </w:p>
    <w:p w14:paraId="1463E0E1" w14:textId="77777777" w:rsidR="007E5BF0" w:rsidRPr="004462C1" w:rsidRDefault="007E5BF0" w:rsidP="007E5BF0">
      <w:pPr>
        <w:pStyle w:val="InstructionalTextSubheading"/>
      </w:pPr>
      <w:r w:rsidRPr="004462C1">
        <w:t>Enter or attach the grantee’s refinancing guidelines below. The guidelines describe the conditions under which the grantee will refinance existing debt. The grantee’s refinancing guidelines must, at minimum, demonstrate that rehabilitation is the primary eligible activity and ensure that this requirement is met by establishing a minimum level of rehabilitation per unit or a required ratio between rehabilitation and refinancing. If the grantee will not refinance existing debt, enter “N/A.”</w:t>
      </w:r>
    </w:p>
    <w:p w14:paraId="56B6C272" w14:textId="77777777" w:rsidR="007E5BF0" w:rsidRDefault="007E5BF0" w:rsidP="007E5BF0">
      <w:r>
        <w:t>N/A</w:t>
      </w:r>
    </w:p>
    <w:p w14:paraId="3C4E7DC9" w14:textId="77777777" w:rsidR="007E5BF0" w:rsidRPr="004462C1" w:rsidRDefault="007E5BF0" w:rsidP="007E5BF0"/>
    <w:p w14:paraId="2A3C50DA" w14:textId="77777777" w:rsidR="007E5BF0" w:rsidRDefault="007E5BF0" w:rsidP="007E5BF0">
      <w:pPr>
        <w:pStyle w:val="Heading3"/>
      </w:pPr>
      <w:r>
        <w:t xml:space="preserve">Discussion </w:t>
      </w:r>
    </w:p>
    <w:p w14:paraId="66F683F3" w14:textId="77777777" w:rsidR="007E5BF0" w:rsidRPr="00CA7256" w:rsidRDefault="007E5BF0" w:rsidP="007E5BF0">
      <w:pPr>
        <w:rPr>
          <w:rFonts w:cstheme="minorHAnsi"/>
          <w:bCs/>
        </w:rPr>
      </w:pPr>
      <w:r w:rsidRPr="00CA7256">
        <w:rPr>
          <w:rFonts w:cstheme="minorHAnsi"/>
          <w:bCs/>
        </w:rPr>
        <w:t>Not applicable.</w:t>
      </w:r>
    </w:p>
    <w:p w14:paraId="17E57E8C" w14:textId="77777777" w:rsidR="00332A20" w:rsidRDefault="00332A20"/>
    <w:sectPr w:rsidR="00332A20" w:rsidSect="00007697">
      <w:headerReference w:type="default" r:id="rId34"/>
      <w:footerReference w:type="default" r:id="rId35"/>
      <w:pgSz w:w="12240" w:h="15840"/>
      <w:pgMar w:top="1296"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F694B" w14:textId="77777777" w:rsidR="00D01532" w:rsidRDefault="00D01532" w:rsidP="007E5BF0">
      <w:r>
        <w:separator/>
      </w:r>
    </w:p>
  </w:endnote>
  <w:endnote w:type="continuationSeparator" w:id="0">
    <w:p w14:paraId="38DDDC29" w14:textId="77777777" w:rsidR="00D01532" w:rsidRDefault="00D01532" w:rsidP="007E5BF0">
      <w:r>
        <w:continuationSeparator/>
      </w:r>
    </w:p>
  </w:endnote>
  <w:endnote w:type="continuationNotice" w:id="1">
    <w:p w14:paraId="54A3CB09" w14:textId="77777777" w:rsidR="00D01532" w:rsidRDefault="00D01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G Omega">
    <w:altName w:val="Candar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2B96F" w14:textId="77777777" w:rsidR="001518C2" w:rsidRPr="008E02B3" w:rsidRDefault="001518C2" w:rsidP="00E3140D">
    <w:pPr>
      <w:tabs>
        <w:tab w:val="center" w:pos="4680"/>
        <w:tab w:val="right" w:pos="936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580446632"/>
      <w:docPartObj>
        <w:docPartGallery w:val="Page Numbers (Bottom of Page)"/>
        <w:docPartUnique/>
      </w:docPartObj>
    </w:sdtPr>
    <w:sdtEndPr>
      <w:rPr>
        <w:noProof/>
        <w:sz w:val="22"/>
        <w:szCs w:val="22"/>
      </w:rPr>
    </w:sdtEndPr>
    <w:sdtContent>
      <w:p w14:paraId="6177E6DE" w14:textId="72E1A991" w:rsidR="001518C2" w:rsidRPr="00352649" w:rsidRDefault="001518C2" w:rsidP="0044257C">
        <w:pPr>
          <w:pBdr>
            <w:top w:val="single" w:sz="4" w:space="1" w:color="auto"/>
          </w:pBdr>
          <w:tabs>
            <w:tab w:val="center" w:pos="4680"/>
            <w:tab w:val="right" w:pos="9360"/>
          </w:tabs>
          <w:rPr>
            <w:sz w:val="20"/>
          </w:rPr>
        </w:pPr>
        <w:r>
          <w:rPr>
            <w:sz w:val="20"/>
          </w:rPr>
          <w:t xml:space="preserve">State of </w:t>
        </w:r>
        <w:r w:rsidRPr="009D3832">
          <w:rPr>
            <w:sz w:val="20"/>
          </w:rPr>
          <w:t xml:space="preserve">Montana </w:t>
        </w:r>
        <w:r w:rsidRPr="009D3832">
          <w:rPr>
            <w:sz w:val="20"/>
          </w:rPr>
          <w:tab/>
        </w:r>
        <w:r w:rsidRPr="00627D07">
          <w:rPr>
            <w:color w:val="2B579A"/>
            <w:sz w:val="20"/>
          </w:rPr>
          <w:fldChar w:fldCharType="begin"/>
        </w:r>
        <w:r w:rsidRPr="00627D07">
          <w:rPr>
            <w:sz w:val="20"/>
          </w:rPr>
          <w:instrText xml:space="preserve"> PAGE  \* roman  \* MERGEFORMAT </w:instrText>
        </w:r>
        <w:r w:rsidRPr="00627D07">
          <w:rPr>
            <w:color w:val="2B579A"/>
            <w:sz w:val="20"/>
          </w:rPr>
          <w:fldChar w:fldCharType="separate"/>
        </w:r>
        <w:r w:rsidRPr="00627D07">
          <w:rPr>
            <w:noProof/>
            <w:sz w:val="20"/>
          </w:rPr>
          <w:t>i</w:t>
        </w:r>
        <w:r w:rsidRPr="00627D07">
          <w:rPr>
            <w:color w:val="2B579A"/>
            <w:sz w:val="20"/>
          </w:rPr>
          <w:fldChar w:fldCharType="end"/>
        </w:r>
        <w:r w:rsidRPr="00627D07">
          <w:rPr>
            <w:sz w:val="20"/>
          </w:rPr>
          <w:tab/>
        </w:r>
        <w:r w:rsidR="006216A8">
          <w:rPr>
            <w:sz w:val="20"/>
          </w:rPr>
          <w:t>2024-2025</w:t>
        </w:r>
        <w:r>
          <w:rPr>
            <w:sz w:val="20"/>
          </w:rPr>
          <w:t xml:space="preserve"> AAP</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755395919"/>
      <w:docPartObj>
        <w:docPartGallery w:val="Page Numbers (Bottom of Page)"/>
        <w:docPartUnique/>
      </w:docPartObj>
    </w:sdtPr>
    <w:sdtEndPr>
      <w:rPr>
        <w:noProof/>
        <w:sz w:val="22"/>
        <w:szCs w:val="22"/>
      </w:rPr>
    </w:sdtEndPr>
    <w:sdtContent>
      <w:p w14:paraId="0D894156" w14:textId="39A55DFE" w:rsidR="001518C2" w:rsidRPr="00352649" w:rsidRDefault="001518C2" w:rsidP="0044257C">
        <w:pPr>
          <w:pBdr>
            <w:top w:val="single" w:sz="4" w:space="1" w:color="auto"/>
          </w:pBdr>
          <w:tabs>
            <w:tab w:val="center" w:pos="4680"/>
            <w:tab w:val="right" w:pos="9360"/>
          </w:tabs>
          <w:rPr>
            <w:sz w:val="20"/>
          </w:rPr>
        </w:pPr>
        <w:r>
          <w:rPr>
            <w:sz w:val="20"/>
          </w:rPr>
          <w:t xml:space="preserve">State of </w:t>
        </w:r>
        <w:r w:rsidRPr="009D3832">
          <w:rPr>
            <w:sz w:val="20"/>
          </w:rPr>
          <w:t xml:space="preserve">Montana </w:t>
        </w:r>
        <w:r w:rsidRPr="009D3832">
          <w:rPr>
            <w:sz w:val="20"/>
          </w:rPr>
          <w:tab/>
        </w:r>
        <w:r w:rsidRPr="00627D07">
          <w:rPr>
            <w:color w:val="2B579A"/>
            <w:sz w:val="20"/>
          </w:rPr>
          <w:fldChar w:fldCharType="begin"/>
        </w:r>
        <w:r w:rsidRPr="00627D07">
          <w:rPr>
            <w:sz w:val="20"/>
          </w:rPr>
          <w:instrText xml:space="preserve"> PAGE  \* Arabic  \* MERGEFORMAT </w:instrText>
        </w:r>
        <w:r w:rsidRPr="00627D07">
          <w:rPr>
            <w:color w:val="2B579A"/>
            <w:sz w:val="20"/>
          </w:rPr>
          <w:fldChar w:fldCharType="separate"/>
        </w:r>
        <w:r w:rsidRPr="00627D07">
          <w:rPr>
            <w:noProof/>
            <w:sz w:val="20"/>
          </w:rPr>
          <w:t>169</w:t>
        </w:r>
        <w:r w:rsidRPr="00627D07">
          <w:rPr>
            <w:color w:val="2B579A"/>
            <w:sz w:val="20"/>
          </w:rPr>
          <w:fldChar w:fldCharType="end"/>
        </w:r>
        <w:r w:rsidRPr="009D3832">
          <w:rPr>
            <w:sz w:val="20"/>
          </w:rPr>
          <w:tab/>
        </w:r>
        <w:r w:rsidR="006216A8">
          <w:rPr>
            <w:sz w:val="20"/>
          </w:rPr>
          <w:t>2024-2025</w:t>
        </w:r>
        <w:r>
          <w:rPr>
            <w:sz w:val="20"/>
          </w:rPr>
          <w:t xml:space="preserve"> AAP</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9CCB6" w14:textId="77777777" w:rsidR="00D01532" w:rsidRDefault="00D01532" w:rsidP="007E5BF0">
      <w:r>
        <w:separator/>
      </w:r>
    </w:p>
  </w:footnote>
  <w:footnote w:type="continuationSeparator" w:id="0">
    <w:p w14:paraId="46C953DE" w14:textId="77777777" w:rsidR="00D01532" w:rsidRDefault="00D01532" w:rsidP="007E5BF0">
      <w:r>
        <w:continuationSeparator/>
      </w:r>
    </w:p>
  </w:footnote>
  <w:footnote w:type="continuationNotice" w:id="1">
    <w:p w14:paraId="7903832E" w14:textId="77777777" w:rsidR="00D01532" w:rsidRDefault="00D01532"/>
  </w:footnote>
  <w:footnote w:id="2">
    <w:p w14:paraId="1CD01E31" w14:textId="2D4F84D5" w:rsidR="001518C2" w:rsidRDefault="001518C2">
      <w:pPr>
        <w:pStyle w:val="FootnoteText"/>
      </w:pPr>
      <w:r>
        <w:rPr>
          <w:rStyle w:val="FootnoteReference"/>
        </w:rPr>
        <w:footnoteRef/>
      </w:r>
      <w:r>
        <w:t xml:space="preserve"> In addition to the 5% match collected for projects, the State uses match in reserve to meet its 25% match obligation (24 CFR § 92.218). See 24 CFR § 92.220 for eligible forms of matching contributions.</w:t>
      </w:r>
    </w:p>
  </w:footnote>
  <w:footnote w:id="3">
    <w:p w14:paraId="1A30E96E" w14:textId="198DD0DE" w:rsidR="001518C2" w:rsidRDefault="001518C2" w:rsidP="005A72C9">
      <w:pPr>
        <w:pStyle w:val="FootnoteText"/>
      </w:pPr>
      <w:r>
        <w:rPr>
          <w:rStyle w:val="FootnoteReference"/>
        </w:rPr>
        <w:footnoteRef/>
      </w:r>
      <w:r>
        <w:t xml:space="preserve"> </w:t>
      </w:r>
      <w:r w:rsidR="005A72C9" w:rsidRPr="005A72C9">
        <w:t>https://www.hudexchange.info/news/hud-publishes-limits-for-home-maximum-per-unit-subsidies/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11979AD" w14:paraId="4FF6F4AE" w14:textId="77777777" w:rsidTr="00A75DA5">
      <w:trPr>
        <w:trHeight w:val="300"/>
      </w:trPr>
      <w:tc>
        <w:tcPr>
          <w:tcW w:w="3120" w:type="dxa"/>
        </w:tcPr>
        <w:p w14:paraId="5C4F7C20" w14:textId="5DA40B9C" w:rsidR="511979AD" w:rsidRDefault="511979AD" w:rsidP="00A75DA5">
          <w:pPr>
            <w:ind w:left="-115"/>
          </w:pPr>
        </w:p>
      </w:tc>
      <w:tc>
        <w:tcPr>
          <w:tcW w:w="3120" w:type="dxa"/>
        </w:tcPr>
        <w:p w14:paraId="5CE46651" w14:textId="31D25A89" w:rsidR="511979AD" w:rsidRDefault="511979AD" w:rsidP="00A75DA5">
          <w:pPr>
            <w:jc w:val="center"/>
          </w:pPr>
        </w:p>
      </w:tc>
      <w:tc>
        <w:tcPr>
          <w:tcW w:w="3120" w:type="dxa"/>
        </w:tcPr>
        <w:p w14:paraId="1AAB69DE" w14:textId="1445E597" w:rsidR="511979AD" w:rsidRDefault="511979AD" w:rsidP="00A75DA5">
          <w:pPr>
            <w:ind w:right="-115"/>
            <w:jc w:val="right"/>
          </w:pPr>
        </w:p>
      </w:tc>
    </w:tr>
  </w:tbl>
  <w:p w14:paraId="1EAFF669" w14:textId="5EDE9DFC" w:rsidR="511979AD" w:rsidRDefault="511979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11979AD" w14:paraId="708FD247" w14:textId="77777777" w:rsidTr="00A75DA5">
      <w:trPr>
        <w:trHeight w:val="300"/>
      </w:trPr>
      <w:tc>
        <w:tcPr>
          <w:tcW w:w="3120" w:type="dxa"/>
        </w:tcPr>
        <w:p w14:paraId="047DE3F3" w14:textId="1A764DDD" w:rsidR="511979AD" w:rsidRDefault="511979AD" w:rsidP="00A75DA5">
          <w:pPr>
            <w:ind w:left="-115"/>
          </w:pPr>
        </w:p>
      </w:tc>
      <w:tc>
        <w:tcPr>
          <w:tcW w:w="3120" w:type="dxa"/>
        </w:tcPr>
        <w:p w14:paraId="11C6A532" w14:textId="7ACA4AF0" w:rsidR="511979AD" w:rsidRDefault="511979AD" w:rsidP="00A75DA5">
          <w:pPr>
            <w:jc w:val="center"/>
          </w:pPr>
        </w:p>
      </w:tc>
      <w:tc>
        <w:tcPr>
          <w:tcW w:w="3120" w:type="dxa"/>
        </w:tcPr>
        <w:p w14:paraId="5C52E501" w14:textId="24A00CBC" w:rsidR="511979AD" w:rsidRDefault="511979AD" w:rsidP="00A75DA5">
          <w:pPr>
            <w:ind w:right="-115"/>
            <w:jc w:val="right"/>
          </w:pPr>
        </w:p>
      </w:tc>
    </w:tr>
  </w:tbl>
  <w:p w14:paraId="6694BF15" w14:textId="6D124A87" w:rsidR="511979AD" w:rsidRDefault="511979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11979AD" w14:paraId="5E293198" w14:textId="77777777" w:rsidTr="00A75DA5">
      <w:trPr>
        <w:trHeight w:val="300"/>
      </w:trPr>
      <w:tc>
        <w:tcPr>
          <w:tcW w:w="3120" w:type="dxa"/>
        </w:tcPr>
        <w:p w14:paraId="36C0AC20" w14:textId="0CFED0C9" w:rsidR="511979AD" w:rsidRDefault="511979AD" w:rsidP="00A75DA5">
          <w:pPr>
            <w:ind w:left="-115"/>
          </w:pPr>
        </w:p>
      </w:tc>
      <w:tc>
        <w:tcPr>
          <w:tcW w:w="3120" w:type="dxa"/>
        </w:tcPr>
        <w:p w14:paraId="78211F58" w14:textId="0A1F6655" w:rsidR="511979AD" w:rsidRDefault="511979AD" w:rsidP="00A75DA5">
          <w:pPr>
            <w:jc w:val="center"/>
          </w:pPr>
        </w:p>
      </w:tc>
      <w:tc>
        <w:tcPr>
          <w:tcW w:w="3120" w:type="dxa"/>
        </w:tcPr>
        <w:p w14:paraId="3E45ADB6" w14:textId="48233232" w:rsidR="511979AD" w:rsidRDefault="511979AD" w:rsidP="00A75DA5">
          <w:pPr>
            <w:ind w:right="-115"/>
            <w:jc w:val="right"/>
          </w:pPr>
        </w:p>
      </w:tc>
    </w:tr>
  </w:tbl>
  <w:p w14:paraId="129549B0" w14:textId="36861953" w:rsidR="511979AD" w:rsidRDefault="511979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32D"/>
    <w:multiLevelType w:val="hybridMultilevel"/>
    <w:tmpl w:val="5CF6C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62B00"/>
    <w:multiLevelType w:val="hybridMultilevel"/>
    <w:tmpl w:val="B9240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55F9"/>
    <w:multiLevelType w:val="hybridMultilevel"/>
    <w:tmpl w:val="C5108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438A0"/>
    <w:multiLevelType w:val="multilevel"/>
    <w:tmpl w:val="007858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F96CA2"/>
    <w:multiLevelType w:val="hybridMultilevel"/>
    <w:tmpl w:val="9E4442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B574B"/>
    <w:multiLevelType w:val="hybridMultilevel"/>
    <w:tmpl w:val="4D6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D5DD2"/>
    <w:multiLevelType w:val="hybridMultilevel"/>
    <w:tmpl w:val="F20449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3C001E"/>
    <w:multiLevelType w:val="hybridMultilevel"/>
    <w:tmpl w:val="67AA4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EE4289"/>
    <w:multiLevelType w:val="hybridMultilevel"/>
    <w:tmpl w:val="9EFCD0F6"/>
    <w:lvl w:ilvl="0" w:tplc="132019D2">
      <w:start w:val="1"/>
      <w:numFmt w:val="bullet"/>
      <w:pStyle w:val="TRBullet"/>
      <w:lvlText w:val=""/>
      <w:lvlJc w:val="left"/>
      <w:pPr>
        <w:ind w:left="216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FE58BD"/>
    <w:multiLevelType w:val="hybridMultilevel"/>
    <w:tmpl w:val="61C2D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91141"/>
    <w:multiLevelType w:val="hybridMultilevel"/>
    <w:tmpl w:val="4E02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EE2435"/>
    <w:multiLevelType w:val="hybridMultilevel"/>
    <w:tmpl w:val="7772B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260708"/>
    <w:multiLevelType w:val="hybridMultilevel"/>
    <w:tmpl w:val="E6D2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020C0"/>
    <w:multiLevelType w:val="hybridMultilevel"/>
    <w:tmpl w:val="462A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BD1861"/>
    <w:multiLevelType w:val="hybridMultilevel"/>
    <w:tmpl w:val="FD6C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233D4"/>
    <w:multiLevelType w:val="hybridMultilevel"/>
    <w:tmpl w:val="F6189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520611"/>
    <w:multiLevelType w:val="hybridMultilevel"/>
    <w:tmpl w:val="0ED688F0"/>
    <w:lvl w:ilvl="0" w:tplc="F27402E2">
      <w:start w:val="1"/>
      <w:numFmt w:val="decimal"/>
      <w:lvlText w:val="%1."/>
      <w:lvlJc w:val="left"/>
      <w:pPr>
        <w:ind w:left="720" w:hanging="360"/>
      </w:pPr>
    </w:lvl>
    <w:lvl w:ilvl="1" w:tplc="FC3666D0">
      <w:start w:val="1"/>
      <w:numFmt w:val="decimal"/>
      <w:lvlText w:val="(%2)"/>
      <w:lvlJc w:val="left"/>
      <w:pPr>
        <w:ind w:left="1440" w:hanging="360"/>
      </w:pPr>
    </w:lvl>
    <w:lvl w:ilvl="2" w:tplc="C0668B34">
      <w:start w:val="1"/>
      <w:numFmt w:val="lowerRoman"/>
      <w:lvlText w:val="%3."/>
      <w:lvlJc w:val="right"/>
      <w:pPr>
        <w:ind w:left="2160" w:hanging="180"/>
      </w:pPr>
    </w:lvl>
    <w:lvl w:ilvl="3" w:tplc="CA220EEE">
      <w:start w:val="1"/>
      <w:numFmt w:val="decimal"/>
      <w:lvlText w:val="%4."/>
      <w:lvlJc w:val="left"/>
      <w:pPr>
        <w:ind w:left="2880" w:hanging="360"/>
      </w:pPr>
    </w:lvl>
    <w:lvl w:ilvl="4" w:tplc="467EE41A">
      <w:start w:val="1"/>
      <w:numFmt w:val="lowerLetter"/>
      <w:lvlText w:val="%5."/>
      <w:lvlJc w:val="left"/>
      <w:pPr>
        <w:ind w:left="3600" w:hanging="360"/>
      </w:pPr>
    </w:lvl>
    <w:lvl w:ilvl="5" w:tplc="7C52CC72">
      <w:start w:val="1"/>
      <w:numFmt w:val="lowerRoman"/>
      <w:lvlText w:val="%6."/>
      <w:lvlJc w:val="right"/>
      <w:pPr>
        <w:ind w:left="4320" w:hanging="180"/>
      </w:pPr>
    </w:lvl>
    <w:lvl w:ilvl="6" w:tplc="C3AC17E6">
      <w:start w:val="1"/>
      <w:numFmt w:val="decimal"/>
      <w:lvlText w:val="%7."/>
      <w:lvlJc w:val="left"/>
      <w:pPr>
        <w:ind w:left="5040" w:hanging="360"/>
      </w:pPr>
    </w:lvl>
    <w:lvl w:ilvl="7" w:tplc="11204738">
      <w:start w:val="1"/>
      <w:numFmt w:val="lowerLetter"/>
      <w:lvlText w:val="%8."/>
      <w:lvlJc w:val="left"/>
      <w:pPr>
        <w:ind w:left="5760" w:hanging="360"/>
      </w:pPr>
    </w:lvl>
    <w:lvl w:ilvl="8" w:tplc="9BC0A2C0">
      <w:start w:val="1"/>
      <w:numFmt w:val="lowerRoman"/>
      <w:lvlText w:val="%9."/>
      <w:lvlJc w:val="right"/>
      <w:pPr>
        <w:ind w:left="6480" w:hanging="180"/>
      </w:pPr>
    </w:lvl>
  </w:abstractNum>
  <w:abstractNum w:abstractNumId="17" w15:restartNumberingAfterBreak="0">
    <w:nsid w:val="498C4ED8"/>
    <w:multiLevelType w:val="hybridMultilevel"/>
    <w:tmpl w:val="F64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3766A"/>
    <w:multiLevelType w:val="hybridMultilevel"/>
    <w:tmpl w:val="2DEAB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7671C"/>
    <w:multiLevelType w:val="hybridMultilevel"/>
    <w:tmpl w:val="D910D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51397B"/>
    <w:multiLevelType w:val="hybridMultilevel"/>
    <w:tmpl w:val="C7CE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7041B"/>
    <w:multiLevelType w:val="hybridMultilevel"/>
    <w:tmpl w:val="82DCD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561C16"/>
    <w:multiLevelType w:val="hybridMultilevel"/>
    <w:tmpl w:val="733C4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AF2B68"/>
    <w:multiLevelType w:val="hybridMultilevel"/>
    <w:tmpl w:val="FB3C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C36BA"/>
    <w:multiLevelType w:val="hybridMultilevel"/>
    <w:tmpl w:val="798A3A7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423B4E"/>
    <w:multiLevelType w:val="hybridMultilevel"/>
    <w:tmpl w:val="9F1E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85D75"/>
    <w:multiLevelType w:val="hybridMultilevel"/>
    <w:tmpl w:val="3DBA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E2526"/>
    <w:multiLevelType w:val="hybridMultilevel"/>
    <w:tmpl w:val="B24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D45E7"/>
    <w:multiLevelType w:val="hybridMultilevel"/>
    <w:tmpl w:val="8F88F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1F79D8"/>
    <w:multiLevelType w:val="hybridMultilevel"/>
    <w:tmpl w:val="4EFA1C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077175">
    <w:abstractNumId w:val="16"/>
  </w:num>
  <w:num w:numId="2" w16cid:durableId="1609194107">
    <w:abstractNumId w:val="8"/>
  </w:num>
  <w:num w:numId="3" w16cid:durableId="1403718034">
    <w:abstractNumId w:val="23"/>
  </w:num>
  <w:num w:numId="4" w16cid:durableId="1071654221">
    <w:abstractNumId w:val="20"/>
  </w:num>
  <w:num w:numId="5" w16cid:durableId="2058703260">
    <w:abstractNumId w:val="0"/>
  </w:num>
  <w:num w:numId="6" w16cid:durableId="1272472128">
    <w:abstractNumId w:val="28"/>
  </w:num>
  <w:num w:numId="7" w16cid:durableId="226958548">
    <w:abstractNumId w:val="15"/>
  </w:num>
  <w:num w:numId="8" w16cid:durableId="2071535552">
    <w:abstractNumId w:val="18"/>
  </w:num>
  <w:num w:numId="9" w16cid:durableId="1887519285">
    <w:abstractNumId w:val="12"/>
  </w:num>
  <w:num w:numId="10" w16cid:durableId="1994530833">
    <w:abstractNumId w:val="5"/>
  </w:num>
  <w:num w:numId="11" w16cid:durableId="287973539">
    <w:abstractNumId w:val="4"/>
  </w:num>
  <w:num w:numId="12" w16cid:durableId="819541902">
    <w:abstractNumId w:val="1"/>
  </w:num>
  <w:num w:numId="13" w16cid:durableId="1442603911">
    <w:abstractNumId w:val="14"/>
  </w:num>
  <w:num w:numId="14" w16cid:durableId="612248948">
    <w:abstractNumId w:val="19"/>
  </w:num>
  <w:num w:numId="15" w16cid:durableId="1153639247">
    <w:abstractNumId w:val="26"/>
  </w:num>
  <w:num w:numId="16" w16cid:durableId="623077278">
    <w:abstractNumId w:val="27"/>
  </w:num>
  <w:num w:numId="17" w16cid:durableId="439447122">
    <w:abstractNumId w:val="11"/>
  </w:num>
  <w:num w:numId="18" w16cid:durableId="1815871590">
    <w:abstractNumId w:val="22"/>
  </w:num>
  <w:num w:numId="19" w16cid:durableId="2144152314">
    <w:abstractNumId w:val="24"/>
  </w:num>
  <w:num w:numId="20" w16cid:durableId="577636734">
    <w:abstractNumId w:val="29"/>
  </w:num>
  <w:num w:numId="21" w16cid:durableId="443311218">
    <w:abstractNumId w:val="9"/>
  </w:num>
  <w:num w:numId="22" w16cid:durableId="32193443">
    <w:abstractNumId w:val="17"/>
  </w:num>
  <w:num w:numId="23" w16cid:durableId="1010177589">
    <w:abstractNumId w:val="21"/>
  </w:num>
  <w:num w:numId="24" w16cid:durableId="913710552">
    <w:abstractNumId w:val="13"/>
  </w:num>
  <w:num w:numId="25" w16cid:durableId="497037442">
    <w:abstractNumId w:val="25"/>
  </w:num>
  <w:num w:numId="26" w16cid:durableId="541328642">
    <w:abstractNumId w:val="2"/>
  </w:num>
  <w:num w:numId="27" w16cid:durableId="23483948">
    <w:abstractNumId w:val="6"/>
  </w:num>
  <w:num w:numId="28" w16cid:durableId="1175876047">
    <w:abstractNumId w:val="7"/>
  </w:num>
  <w:num w:numId="29" w16cid:durableId="384184218">
    <w:abstractNumId w:val="3"/>
  </w:num>
  <w:num w:numId="30" w16cid:durableId="12777576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907792">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A20"/>
    <w:rsid w:val="0000656C"/>
    <w:rsid w:val="00007697"/>
    <w:rsid w:val="00007A58"/>
    <w:rsid w:val="000110AE"/>
    <w:rsid w:val="00015147"/>
    <w:rsid w:val="00018B56"/>
    <w:rsid w:val="000203E9"/>
    <w:rsid w:val="000208FD"/>
    <w:rsid w:val="0002323B"/>
    <w:rsid w:val="00025D6D"/>
    <w:rsid w:val="00026D95"/>
    <w:rsid w:val="00033516"/>
    <w:rsid w:val="00035B41"/>
    <w:rsid w:val="00036A57"/>
    <w:rsid w:val="00040ED6"/>
    <w:rsid w:val="00042EE1"/>
    <w:rsid w:val="000431F1"/>
    <w:rsid w:val="00046341"/>
    <w:rsid w:val="00046EC5"/>
    <w:rsid w:val="00052EA4"/>
    <w:rsid w:val="00053B05"/>
    <w:rsid w:val="00056F47"/>
    <w:rsid w:val="000623DD"/>
    <w:rsid w:val="00065B4A"/>
    <w:rsid w:val="00072432"/>
    <w:rsid w:val="0007287B"/>
    <w:rsid w:val="0007391A"/>
    <w:rsid w:val="00076739"/>
    <w:rsid w:val="0008181F"/>
    <w:rsid w:val="00084308"/>
    <w:rsid w:val="0008522B"/>
    <w:rsid w:val="00093E4F"/>
    <w:rsid w:val="00095F18"/>
    <w:rsid w:val="000A13AD"/>
    <w:rsid w:val="000A5293"/>
    <w:rsid w:val="000A6F75"/>
    <w:rsid w:val="000B0188"/>
    <w:rsid w:val="000B4421"/>
    <w:rsid w:val="000B4E56"/>
    <w:rsid w:val="000B6EF4"/>
    <w:rsid w:val="000B7ECE"/>
    <w:rsid w:val="000C1F6C"/>
    <w:rsid w:val="000C43B2"/>
    <w:rsid w:val="000C468A"/>
    <w:rsid w:val="000C484A"/>
    <w:rsid w:val="000C4B41"/>
    <w:rsid w:val="000D2593"/>
    <w:rsid w:val="000D28B6"/>
    <w:rsid w:val="000E3A0A"/>
    <w:rsid w:val="000E687C"/>
    <w:rsid w:val="001074F5"/>
    <w:rsid w:val="00110064"/>
    <w:rsid w:val="0011729A"/>
    <w:rsid w:val="00121823"/>
    <w:rsid w:val="0012540F"/>
    <w:rsid w:val="001323A4"/>
    <w:rsid w:val="00134B61"/>
    <w:rsid w:val="0014060F"/>
    <w:rsid w:val="001439E5"/>
    <w:rsid w:val="0014597D"/>
    <w:rsid w:val="00147654"/>
    <w:rsid w:val="00150FB1"/>
    <w:rsid w:val="001518C2"/>
    <w:rsid w:val="00155B3C"/>
    <w:rsid w:val="00156EE0"/>
    <w:rsid w:val="00167730"/>
    <w:rsid w:val="0016787D"/>
    <w:rsid w:val="00174E33"/>
    <w:rsid w:val="00180EFE"/>
    <w:rsid w:val="0018112A"/>
    <w:rsid w:val="00187E25"/>
    <w:rsid w:val="00192C01"/>
    <w:rsid w:val="00193AD0"/>
    <w:rsid w:val="00196D27"/>
    <w:rsid w:val="00197A13"/>
    <w:rsid w:val="001A15CA"/>
    <w:rsid w:val="001A569C"/>
    <w:rsid w:val="001A6F6D"/>
    <w:rsid w:val="001A75C4"/>
    <w:rsid w:val="001B031A"/>
    <w:rsid w:val="001B2287"/>
    <w:rsid w:val="001B2761"/>
    <w:rsid w:val="001B387E"/>
    <w:rsid w:val="001B61E6"/>
    <w:rsid w:val="001B62B8"/>
    <w:rsid w:val="001B7DB5"/>
    <w:rsid w:val="001C0497"/>
    <w:rsid w:val="001C2DC6"/>
    <w:rsid w:val="001D0ED0"/>
    <w:rsid w:val="001D1534"/>
    <w:rsid w:val="001D2695"/>
    <w:rsid w:val="001D4A44"/>
    <w:rsid w:val="001D5AB6"/>
    <w:rsid w:val="001D6D02"/>
    <w:rsid w:val="001E2A1F"/>
    <w:rsid w:val="001E4C36"/>
    <w:rsid w:val="001F0288"/>
    <w:rsid w:val="001F0AB1"/>
    <w:rsid w:val="001F1F7B"/>
    <w:rsid w:val="001F32FA"/>
    <w:rsid w:val="001F6F23"/>
    <w:rsid w:val="001F7F8B"/>
    <w:rsid w:val="0020451F"/>
    <w:rsid w:val="00204D19"/>
    <w:rsid w:val="00210C19"/>
    <w:rsid w:val="0021136F"/>
    <w:rsid w:val="00213E5D"/>
    <w:rsid w:val="00223304"/>
    <w:rsid w:val="002265D2"/>
    <w:rsid w:val="002273C3"/>
    <w:rsid w:val="0023706D"/>
    <w:rsid w:val="00243DBA"/>
    <w:rsid w:val="00243E01"/>
    <w:rsid w:val="002452FE"/>
    <w:rsid w:val="00247F29"/>
    <w:rsid w:val="00251DD8"/>
    <w:rsid w:val="00256A02"/>
    <w:rsid w:val="00256E32"/>
    <w:rsid w:val="002573AE"/>
    <w:rsid w:val="0026748E"/>
    <w:rsid w:val="00274A5F"/>
    <w:rsid w:val="002768AE"/>
    <w:rsid w:val="0028161B"/>
    <w:rsid w:val="00282CEB"/>
    <w:rsid w:val="002831B1"/>
    <w:rsid w:val="00283979"/>
    <w:rsid w:val="0028517D"/>
    <w:rsid w:val="00285E8C"/>
    <w:rsid w:val="00287952"/>
    <w:rsid w:val="0029221D"/>
    <w:rsid w:val="002938B6"/>
    <w:rsid w:val="00295915"/>
    <w:rsid w:val="002A3F75"/>
    <w:rsid w:val="002A578F"/>
    <w:rsid w:val="002A729D"/>
    <w:rsid w:val="002B4296"/>
    <w:rsid w:val="002B42E3"/>
    <w:rsid w:val="002B5579"/>
    <w:rsid w:val="002B5A78"/>
    <w:rsid w:val="002B69AE"/>
    <w:rsid w:val="002C001A"/>
    <w:rsid w:val="002C04D4"/>
    <w:rsid w:val="002C18F3"/>
    <w:rsid w:val="002C3176"/>
    <w:rsid w:val="002D03DA"/>
    <w:rsid w:val="002D5DE7"/>
    <w:rsid w:val="002D6085"/>
    <w:rsid w:val="002D6F33"/>
    <w:rsid w:val="002E12B3"/>
    <w:rsid w:val="002E1308"/>
    <w:rsid w:val="002E321B"/>
    <w:rsid w:val="002E4ABB"/>
    <w:rsid w:val="002F2617"/>
    <w:rsid w:val="002F4A22"/>
    <w:rsid w:val="0030495E"/>
    <w:rsid w:val="003057CD"/>
    <w:rsid w:val="00317FFE"/>
    <w:rsid w:val="003205F3"/>
    <w:rsid w:val="003237C9"/>
    <w:rsid w:val="00326474"/>
    <w:rsid w:val="0033145B"/>
    <w:rsid w:val="00332A20"/>
    <w:rsid w:val="003334B8"/>
    <w:rsid w:val="0033421F"/>
    <w:rsid w:val="00335CA0"/>
    <w:rsid w:val="003362EB"/>
    <w:rsid w:val="00336420"/>
    <w:rsid w:val="00336C64"/>
    <w:rsid w:val="0034090D"/>
    <w:rsid w:val="00340FB8"/>
    <w:rsid w:val="00354051"/>
    <w:rsid w:val="00356A34"/>
    <w:rsid w:val="00356AC8"/>
    <w:rsid w:val="0036111A"/>
    <w:rsid w:val="003630D6"/>
    <w:rsid w:val="0036358A"/>
    <w:rsid w:val="00372C2F"/>
    <w:rsid w:val="003747A4"/>
    <w:rsid w:val="00376B62"/>
    <w:rsid w:val="0037748E"/>
    <w:rsid w:val="00380832"/>
    <w:rsid w:val="00380996"/>
    <w:rsid w:val="003817CE"/>
    <w:rsid w:val="00382EAC"/>
    <w:rsid w:val="00383432"/>
    <w:rsid w:val="00384EE6"/>
    <w:rsid w:val="00390C42"/>
    <w:rsid w:val="00393305"/>
    <w:rsid w:val="00393788"/>
    <w:rsid w:val="003944DC"/>
    <w:rsid w:val="0039659F"/>
    <w:rsid w:val="003A01DB"/>
    <w:rsid w:val="003A6457"/>
    <w:rsid w:val="003A7DA0"/>
    <w:rsid w:val="003B0A88"/>
    <w:rsid w:val="003B52D4"/>
    <w:rsid w:val="003C1FF0"/>
    <w:rsid w:val="003D1655"/>
    <w:rsid w:val="003E0746"/>
    <w:rsid w:val="003E0AB4"/>
    <w:rsid w:val="003E2018"/>
    <w:rsid w:val="003E73B9"/>
    <w:rsid w:val="003F2986"/>
    <w:rsid w:val="003F62FC"/>
    <w:rsid w:val="004016B3"/>
    <w:rsid w:val="00404F8A"/>
    <w:rsid w:val="004059EA"/>
    <w:rsid w:val="0040611E"/>
    <w:rsid w:val="00411B9B"/>
    <w:rsid w:val="00414F72"/>
    <w:rsid w:val="00415E5D"/>
    <w:rsid w:val="004165C3"/>
    <w:rsid w:val="00423BF4"/>
    <w:rsid w:val="00423C3E"/>
    <w:rsid w:val="00424C44"/>
    <w:rsid w:val="004276CE"/>
    <w:rsid w:val="00436506"/>
    <w:rsid w:val="0043728E"/>
    <w:rsid w:val="0043779C"/>
    <w:rsid w:val="00440273"/>
    <w:rsid w:val="0044037E"/>
    <w:rsid w:val="00441A3F"/>
    <w:rsid w:val="0044257C"/>
    <w:rsid w:val="00443D4D"/>
    <w:rsid w:val="00445CCC"/>
    <w:rsid w:val="004477BD"/>
    <w:rsid w:val="00450E35"/>
    <w:rsid w:val="00451AE1"/>
    <w:rsid w:val="00453072"/>
    <w:rsid w:val="00453266"/>
    <w:rsid w:val="004534D5"/>
    <w:rsid w:val="00454FA3"/>
    <w:rsid w:val="0046034F"/>
    <w:rsid w:val="00464BAC"/>
    <w:rsid w:val="004657D5"/>
    <w:rsid w:val="00472CBD"/>
    <w:rsid w:val="0047325F"/>
    <w:rsid w:val="004734BF"/>
    <w:rsid w:val="0047730C"/>
    <w:rsid w:val="00477771"/>
    <w:rsid w:val="00477CBD"/>
    <w:rsid w:val="004968FE"/>
    <w:rsid w:val="004973E9"/>
    <w:rsid w:val="00499BE7"/>
    <w:rsid w:val="004A0BC3"/>
    <w:rsid w:val="004A2226"/>
    <w:rsid w:val="004A407E"/>
    <w:rsid w:val="004B308F"/>
    <w:rsid w:val="004C4F54"/>
    <w:rsid w:val="004D18B1"/>
    <w:rsid w:val="004D28BB"/>
    <w:rsid w:val="004D7CB7"/>
    <w:rsid w:val="004E6CB0"/>
    <w:rsid w:val="004E7C51"/>
    <w:rsid w:val="004F1C91"/>
    <w:rsid w:val="004F2FD0"/>
    <w:rsid w:val="004F40A7"/>
    <w:rsid w:val="004F6229"/>
    <w:rsid w:val="004F7B05"/>
    <w:rsid w:val="005014E1"/>
    <w:rsid w:val="0050492B"/>
    <w:rsid w:val="005077D4"/>
    <w:rsid w:val="00511039"/>
    <w:rsid w:val="0051569B"/>
    <w:rsid w:val="0051789F"/>
    <w:rsid w:val="00521105"/>
    <w:rsid w:val="00523018"/>
    <w:rsid w:val="00526B7E"/>
    <w:rsid w:val="00533C7A"/>
    <w:rsid w:val="00534D17"/>
    <w:rsid w:val="00535E4E"/>
    <w:rsid w:val="00545C60"/>
    <w:rsid w:val="0054649D"/>
    <w:rsid w:val="0055026D"/>
    <w:rsid w:val="005506D9"/>
    <w:rsid w:val="0055128A"/>
    <w:rsid w:val="00552595"/>
    <w:rsid w:val="00554F39"/>
    <w:rsid w:val="00564C39"/>
    <w:rsid w:val="0056587A"/>
    <w:rsid w:val="00570504"/>
    <w:rsid w:val="00574A02"/>
    <w:rsid w:val="0058784A"/>
    <w:rsid w:val="00591233"/>
    <w:rsid w:val="00593896"/>
    <w:rsid w:val="005A1E7D"/>
    <w:rsid w:val="005A2BE4"/>
    <w:rsid w:val="005A2F80"/>
    <w:rsid w:val="005A57F7"/>
    <w:rsid w:val="005A6673"/>
    <w:rsid w:val="005A72C9"/>
    <w:rsid w:val="005A77F2"/>
    <w:rsid w:val="005C10EB"/>
    <w:rsid w:val="005D1B4D"/>
    <w:rsid w:val="005D3B7A"/>
    <w:rsid w:val="005D3CFC"/>
    <w:rsid w:val="005E1F3F"/>
    <w:rsid w:val="005E293F"/>
    <w:rsid w:val="005E4B16"/>
    <w:rsid w:val="005E5F90"/>
    <w:rsid w:val="005F376D"/>
    <w:rsid w:val="005F38AD"/>
    <w:rsid w:val="005F541C"/>
    <w:rsid w:val="005F585A"/>
    <w:rsid w:val="005F639A"/>
    <w:rsid w:val="005F69F2"/>
    <w:rsid w:val="005F7325"/>
    <w:rsid w:val="0060070B"/>
    <w:rsid w:val="00600AEE"/>
    <w:rsid w:val="006077DD"/>
    <w:rsid w:val="00610707"/>
    <w:rsid w:val="00615085"/>
    <w:rsid w:val="00617A36"/>
    <w:rsid w:val="006216A8"/>
    <w:rsid w:val="00627D07"/>
    <w:rsid w:val="00627EDD"/>
    <w:rsid w:val="0063251B"/>
    <w:rsid w:val="00634008"/>
    <w:rsid w:val="00636B8F"/>
    <w:rsid w:val="00637995"/>
    <w:rsid w:val="006400DF"/>
    <w:rsid w:val="00640402"/>
    <w:rsid w:val="006508C3"/>
    <w:rsid w:val="00652580"/>
    <w:rsid w:val="006526EB"/>
    <w:rsid w:val="006567F0"/>
    <w:rsid w:val="00660F60"/>
    <w:rsid w:val="0066218F"/>
    <w:rsid w:val="006641D9"/>
    <w:rsid w:val="00666883"/>
    <w:rsid w:val="00670921"/>
    <w:rsid w:val="0067121F"/>
    <w:rsid w:val="0067294B"/>
    <w:rsid w:val="00673BB7"/>
    <w:rsid w:val="006754E4"/>
    <w:rsid w:val="00681DBC"/>
    <w:rsid w:val="006824B3"/>
    <w:rsid w:val="00684370"/>
    <w:rsid w:val="00685388"/>
    <w:rsid w:val="00687E70"/>
    <w:rsid w:val="006901EE"/>
    <w:rsid w:val="00692CE2"/>
    <w:rsid w:val="006943E6"/>
    <w:rsid w:val="00694B44"/>
    <w:rsid w:val="006956B1"/>
    <w:rsid w:val="006A08DB"/>
    <w:rsid w:val="006A5748"/>
    <w:rsid w:val="006B0CDA"/>
    <w:rsid w:val="006C0858"/>
    <w:rsid w:val="006C1F59"/>
    <w:rsid w:val="006C4697"/>
    <w:rsid w:val="006D0280"/>
    <w:rsid w:val="006D1AD3"/>
    <w:rsid w:val="006E000A"/>
    <w:rsid w:val="006E2102"/>
    <w:rsid w:val="006E480A"/>
    <w:rsid w:val="006E66B3"/>
    <w:rsid w:val="006F0CC6"/>
    <w:rsid w:val="006F656A"/>
    <w:rsid w:val="00710EF4"/>
    <w:rsid w:val="00711252"/>
    <w:rsid w:val="00713818"/>
    <w:rsid w:val="007152B8"/>
    <w:rsid w:val="007170A8"/>
    <w:rsid w:val="007208A7"/>
    <w:rsid w:val="007219B3"/>
    <w:rsid w:val="0073118A"/>
    <w:rsid w:val="00742C75"/>
    <w:rsid w:val="007442F0"/>
    <w:rsid w:val="00752A6A"/>
    <w:rsid w:val="00760D5D"/>
    <w:rsid w:val="0076103D"/>
    <w:rsid w:val="00762C5C"/>
    <w:rsid w:val="00764C9C"/>
    <w:rsid w:val="00766204"/>
    <w:rsid w:val="007712AA"/>
    <w:rsid w:val="00772D11"/>
    <w:rsid w:val="00774558"/>
    <w:rsid w:val="00777140"/>
    <w:rsid w:val="007834C5"/>
    <w:rsid w:val="00783960"/>
    <w:rsid w:val="00787144"/>
    <w:rsid w:val="0079218D"/>
    <w:rsid w:val="007A037D"/>
    <w:rsid w:val="007A4246"/>
    <w:rsid w:val="007A4A33"/>
    <w:rsid w:val="007A7A2E"/>
    <w:rsid w:val="007B0108"/>
    <w:rsid w:val="007B7FDC"/>
    <w:rsid w:val="007C4E90"/>
    <w:rsid w:val="007C55D1"/>
    <w:rsid w:val="007E332B"/>
    <w:rsid w:val="007E4078"/>
    <w:rsid w:val="007E4A2B"/>
    <w:rsid w:val="007E5BF0"/>
    <w:rsid w:val="007E7EA2"/>
    <w:rsid w:val="007F08E4"/>
    <w:rsid w:val="007F214B"/>
    <w:rsid w:val="007F4CE5"/>
    <w:rsid w:val="007F5020"/>
    <w:rsid w:val="008007E9"/>
    <w:rsid w:val="00803D63"/>
    <w:rsid w:val="008041CA"/>
    <w:rsid w:val="00805687"/>
    <w:rsid w:val="00811075"/>
    <w:rsid w:val="00812045"/>
    <w:rsid w:val="0081383A"/>
    <w:rsid w:val="00813C8B"/>
    <w:rsid w:val="0081548E"/>
    <w:rsid w:val="00831B3F"/>
    <w:rsid w:val="00834360"/>
    <w:rsid w:val="00835854"/>
    <w:rsid w:val="00836A58"/>
    <w:rsid w:val="00837900"/>
    <w:rsid w:val="00840006"/>
    <w:rsid w:val="00844538"/>
    <w:rsid w:val="00844FDE"/>
    <w:rsid w:val="00851F13"/>
    <w:rsid w:val="00854780"/>
    <w:rsid w:val="0086483F"/>
    <w:rsid w:val="00864D75"/>
    <w:rsid w:val="00871C29"/>
    <w:rsid w:val="0087768E"/>
    <w:rsid w:val="00877AC0"/>
    <w:rsid w:val="00885EF0"/>
    <w:rsid w:val="00887E47"/>
    <w:rsid w:val="0089236E"/>
    <w:rsid w:val="008927F1"/>
    <w:rsid w:val="00892ECF"/>
    <w:rsid w:val="00895F67"/>
    <w:rsid w:val="00896632"/>
    <w:rsid w:val="008A3900"/>
    <w:rsid w:val="008B05DE"/>
    <w:rsid w:val="008B79AC"/>
    <w:rsid w:val="008C156A"/>
    <w:rsid w:val="008D04EC"/>
    <w:rsid w:val="008D3231"/>
    <w:rsid w:val="008D4A1B"/>
    <w:rsid w:val="008D5508"/>
    <w:rsid w:val="008D5904"/>
    <w:rsid w:val="008D645B"/>
    <w:rsid w:val="008D7A00"/>
    <w:rsid w:val="008E0AA6"/>
    <w:rsid w:val="008E1C04"/>
    <w:rsid w:val="008E692D"/>
    <w:rsid w:val="008F60A6"/>
    <w:rsid w:val="0090281C"/>
    <w:rsid w:val="0091667C"/>
    <w:rsid w:val="0092316B"/>
    <w:rsid w:val="00932DC4"/>
    <w:rsid w:val="00933DBA"/>
    <w:rsid w:val="00933FED"/>
    <w:rsid w:val="00934C24"/>
    <w:rsid w:val="00935E63"/>
    <w:rsid w:val="00936594"/>
    <w:rsid w:val="009449E2"/>
    <w:rsid w:val="00947912"/>
    <w:rsid w:val="00951C27"/>
    <w:rsid w:val="0095432A"/>
    <w:rsid w:val="00954D07"/>
    <w:rsid w:val="00955ED7"/>
    <w:rsid w:val="00966F48"/>
    <w:rsid w:val="00967522"/>
    <w:rsid w:val="009861A6"/>
    <w:rsid w:val="009871A4"/>
    <w:rsid w:val="009906E8"/>
    <w:rsid w:val="00991DC2"/>
    <w:rsid w:val="009935FF"/>
    <w:rsid w:val="00997BA7"/>
    <w:rsid w:val="00997D5A"/>
    <w:rsid w:val="009A2F7F"/>
    <w:rsid w:val="009A5576"/>
    <w:rsid w:val="009A7EF2"/>
    <w:rsid w:val="009B0EC3"/>
    <w:rsid w:val="009B2FBB"/>
    <w:rsid w:val="009B79F1"/>
    <w:rsid w:val="009C7B5E"/>
    <w:rsid w:val="009D0D4F"/>
    <w:rsid w:val="009D5D56"/>
    <w:rsid w:val="009E06DE"/>
    <w:rsid w:val="009F6F8A"/>
    <w:rsid w:val="00A00FD1"/>
    <w:rsid w:val="00A01D23"/>
    <w:rsid w:val="00A056FC"/>
    <w:rsid w:val="00A15604"/>
    <w:rsid w:val="00A233CE"/>
    <w:rsid w:val="00A243B6"/>
    <w:rsid w:val="00A32181"/>
    <w:rsid w:val="00A32A92"/>
    <w:rsid w:val="00A34300"/>
    <w:rsid w:val="00A41681"/>
    <w:rsid w:val="00A42E6F"/>
    <w:rsid w:val="00A44957"/>
    <w:rsid w:val="00A53393"/>
    <w:rsid w:val="00A7062C"/>
    <w:rsid w:val="00A70B7C"/>
    <w:rsid w:val="00A74A71"/>
    <w:rsid w:val="00A75DA5"/>
    <w:rsid w:val="00A76333"/>
    <w:rsid w:val="00A8012E"/>
    <w:rsid w:val="00A80314"/>
    <w:rsid w:val="00A826D2"/>
    <w:rsid w:val="00A82AD8"/>
    <w:rsid w:val="00A8612F"/>
    <w:rsid w:val="00A91C33"/>
    <w:rsid w:val="00A9768F"/>
    <w:rsid w:val="00AA060E"/>
    <w:rsid w:val="00AA42AB"/>
    <w:rsid w:val="00AA4C31"/>
    <w:rsid w:val="00AA4D16"/>
    <w:rsid w:val="00AC040E"/>
    <w:rsid w:val="00AC0F10"/>
    <w:rsid w:val="00AD1550"/>
    <w:rsid w:val="00AD3AAC"/>
    <w:rsid w:val="00AE2CD8"/>
    <w:rsid w:val="00AE3D8F"/>
    <w:rsid w:val="00AE447C"/>
    <w:rsid w:val="00AE465D"/>
    <w:rsid w:val="00AE4F27"/>
    <w:rsid w:val="00AE5584"/>
    <w:rsid w:val="00AF5B12"/>
    <w:rsid w:val="00AF653C"/>
    <w:rsid w:val="00B03461"/>
    <w:rsid w:val="00B15223"/>
    <w:rsid w:val="00B1864A"/>
    <w:rsid w:val="00B23ADA"/>
    <w:rsid w:val="00B253E6"/>
    <w:rsid w:val="00B335AB"/>
    <w:rsid w:val="00B35DF1"/>
    <w:rsid w:val="00B363CC"/>
    <w:rsid w:val="00B41681"/>
    <w:rsid w:val="00B44962"/>
    <w:rsid w:val="00B46826"/>
    <w:rsid w:val="00B47CBB"/>
    <w:rsid w:val="00B512C6"/>
    <w:rsid w:val="00B643AD"/>
    <w:rsid w:val="00B650D4"/>
    <w:rsid w:val="00B67C39"/>
    <w:rsid w:val="00B73E41"/>
    <w:rsid w:val="00B7699A"/>
    <w:rsid w:val="00B777F0"/>
    <w:rsid w:val="00B80AC0"/>
    <w:rsid w:val="00B81CAF"/>
    <w:rsid w:val="00B8722F"/>
    <w:rsid w:val="00B91338"/>
    <w:rsid w:val="00B9455A"/>
    <w:rsid w:val="00B95332"/>
    <w:rsid w:val="00BA0F64"/>
    <w:rsid w:val="00BA1F31"/>
    <w:rsid w:val="00BA2F7E"/>
    <w:rsid w:val="00BA3D37"/>
    <w:rsid w:val="00BA73D6"/>
    <w:rsid w:val="00BA7554"/>
    <w:rsid w:val="00BB0E7F"/>
    <w:rsid w:val="00BB738B"/>
    <w:rsid w:val="00BC13D0"/>
    <w:rsid w:val="00BC24C7"/>
    <w:rsid w:val="00BC4DFC"/>
    <w:rsid w:val="00BC5C9B"/>
    <w:rsid w:val="00BC6959"/>
    <w:rsid w:val="00BD6C7A"/>
    <w:rsid w:val="00BD72E8"/>
    <w:rsid w:val="00BE5747"/>
    <w:rsid w:val="00BE6C0A"/>
    <w:rsid w:val="00BF52AC"/>
    <w:rsid w:val="00C019CF"/>
    <w:rsid w:val="00C04140"/>
    <w:rsid w:val="00C042DC"/>
    <w:rsid w:val="00C05272"/>
    <w:rsid w:val="00C05F18"/>
    <w:rsid w:val="00C11861"/>
    <w:rsid w:val="00C13A14"/>
    <w:rsid w:val="00C14679"/>
    <w:rsid w:val="00C1500B"/>
    <w:rsid w:val="00C20333"/>
    <w:rsid w:val="00C21A6D"/>
    <w:rsid w:val="00C230A8"/>
    <w:rsid w:val="00C24AB7"/>
    <w:rsid w:val="00C260FE"/>
    <w:rsid w:val="00C26F49"/>
    <w:rsid w:val="00C274A3"/>
    <w:rsid w:val="00C341D8"/>
    <w:rsid w:val="00C34936"/>
    <w:rsid w:val="00C3698E"/>
    <w:rsid w:val="00C52FCD"/>
    <w:rsid w:val="00C627BC"/>
    <w:rsid w:val="00C6283D"/>
    <w:rsid w:val="00C638FC"/>
    <w:rsid w:val="00C6536F"/>
    <w:rsid w:val="00C67D11"/>
    <w:rsid w:val="00C767E2"/>
    <w:rsid w:val="00C80647"/>
    <w:rsid w:val="00C80AF7"/>
    <w:rsid w:val="00C81C3B"/>
    <w:rsid w:val="00C82536"/>
    <w:rsid w:val="00C8391D"/>
    <w:rsid w:val="00C84316"/>
    <w:rsid w:val="00C86467"/>
    <w:rsid w:val="00C86656"/>
    <w:rsid w:val="00C919AE"/>
    <w:rsid w:val="00C91E76"/>
    <w:rsid w:val="00C94196"/>
    <w:rsid w:val="00C94D3C"/>
    <w:rsid w:val="00C9862C"/>
    <w:rsid w:val="00CA3FC1"/>
    <w:rsid w:val="00CA7256"/>
    <w:rsid w:val="00CC1015"/>
    <w:rsid w:val="00CD2DFC"/>
    <w:rsid w:val="00CD495F"/>
    <w:rsid w:val="00CE7D4E"/>
    <w:rsid w:val="00CE8158"/>
    <w:rsid w:val="00CF0362"/>
    <w:rsid w:val="00CF23A0"/>
    <w:rsid w:val="00CF3215"/>
    <w:rsid w:val="00CF4BDF"/>
    <w:rsid w:val="00CFF7B6"/>
    <w:rsid w:val="00D01532"/>
    <w:rsid w:val="00D022B4"/>
    <w:rsid w:val="00D03C72"/>
    <w:rsid w:val="00D04922"/>
    <w:rsid w:val="00D06B6F"/>
    <w:rsid w:val="00D06D0C"/>
    <w:rsid w:val="00D13375"/>
    <w:rsid w:val="00D1589B"/>
    <w:rsid w:val="00D1A282"/>
    <w:rsid w:val="00D20874"/>
    <w:rsid w:val="00D21C1A"/>
    <w:rsid w:val="00D24EF6"/>
    <w:rsid w:val="00D3228E"/>
    <w:rsid w:val="00D33ED0"/>
    <w:rsid w:val="00D34E5C"/>
    <w:rsid w:val="00D3702D"/>
    <w:rsid w:val="00D37F7C"/>
    <w:rsid w:val="00D4372C"/>
    <w:rsid w:val="00D46409"/>
    <w:rsid w:val="00D5299E"/>
    <w:rsid w:val="00D6343D"/>
    <w:rsid w:val="00D67E68"/>
    <w:rsid w:val="00D74942"/>
    <w:rsid w:val="00D767BC"/>
    <w:rsid w:val="00D8524A"/>
    <w:rsid w:val="00D85CF0"/>
    <w:rsid w:val="00D9279B"/>
    <w:rsid w:val="00D92F72"/>
    <w:rsid w:val="00D949E2"/>
    <w:rsid w:val="00D958BB"/>
    <w:rsid w:val="00D96E2C"/>
    <w:rsid w:val="00DA7080"/>
    <w:rsid w:val="00DA7A67"/>
    <w:rsid w:val="00DB19BA"/>
    <w:rsid w:val="00DB51F2"/>
    <w:rsid w:val="00DC4856"/>
    <w:rsid w:val="00DC6A4A"/>
    <w:rsid w:val="00DD0606"/>
    <w:rsid w:val="00DD3F9D"/>
    <w:rsid w:val="00DD4D06"/>
    <w:rsid w:val="00DE4379"/>
    <w:rsid w:val="00DE50DE"/>
    <w:rsid w:val="00DF20BE"/>
    <w:rsid w:val="00DF47FA"/>
    <w:rsid w:val="00E034BB"/>
    <w:rsid w:val="00E102B7"/>
    <w:rsid w:val="00E10621"/>
    <w:rsid w:val="00E124B7"/>
    <w:rsid w:val="00E13D2C"/>
    <w:rsid w:val="00E14079"/>
    <w:rsid w:val="00E24396"/>
    <w:rsid w:val="00E2B9EE"/>
    <w:rsid w:val="00E3140D"/>
    <w:rsid w:val="00E314F5"/>
    <w:rsid w:val="00E32E0D"/>
    <w:rsid w:val="00E33723"/>
    <w:rsid w:val="00E43201"/>
    <w:rsid w:val="00E50793"/>
    <w:rsid w:val="00E50AF3"/>
    <w:rsid w:val="00E51937"/>
    <w:rsid w:val="00E5572D"/>
    <w:rsid w:val="00E56A7B"/>
    <w:rsid w:val="00E57B77"/>
    <w:rsid w:val="00E6081C"/>
    <w:rsid w:val="00E60A49"/>
    <w:rsid w:val="00E64A52"/>
    <w:rsid w:val="00E65A63"/>
    <w:rsid w:val="00E65E8C"/>
    <w:rsid w:val="00E7401B"/>
    <w:rsid w:val="00E816E4"/>
    <w:rsid w:val="00E92644"/>
    <w:rsid w:val="00EA44DC"/>
    <w:rsid w:val="00EA6347"/>
    <w:rsid w:val="00EB188B"/>
    <w:rsid w:val="00EB26B0"/>
    <w:rsid w:val="00EB2F96"/>
    <w:rsid w:val="00EB4082"/>
    <w:rsid w:val="00EB5D03"/>
    <w:rsid w:val="00EC01D8"/>
    <w:rsid w:val="00EC0492"/>
    <w:rsid w:val="00EC1BC3"/>
    <w:rsid w:val="00EC3898"/>
    <w:rsid w:val="00EC4553"/>
    <w:rsid w:val="00ED067C"/>
    <w:rsid w:val="00ED1D4B"/>
    <w:rsid w:val="00ED1DD1"/>
    <w:rsid w:val="00ED36E0"/>
    <w:rsid w:val="00ED3A3D"/>
    <w:rsid w:val="00EE2FFF"/>
    <w:rsid w:val="00EF03FE"/>
    <w:rsid w:val="00EF146D"/>
    <w:rsid w:val="00EF568A"/>
    <w:rsid w:val="00EF7113"/>
    <w:rsid w:val="00F041CE"/>
    <w:rsid w:val="00F07320"/>
    <w:rsid w:val="00F07B70"/>
    <w:rsid w:val="00F1454F"/>
    <w:rsid w:val="00F1529B"/>
    <w:rsid w:val="00F24DD8"/>
    <w:rsid w:val="00F30F0F"/>
    <w:rsid w:val="00F329F2"/>
    <w:rsid w:val="00F35D5F"/>
    <w:rsid w:val="00F3635F"/>
    <w:rsid w:val="00F363F0"/>
    <w:rsid w:val="00F37BED"/>
    <w:rsid w:val="00F4121E"/>
    <w:rsid w:val="00F4170F"/>
    <w:rsid w:val="00F438A3"/>
    <w:rsid w:val="00F46390"/>
    <w:rsid w:val="00F50FCD"/>
    <w:rsid w:val="00F6009F"/>
    <w:rsid w:val="00F61A37"/>
    <w:rsid w:val="00F708FD"/>
    <w:rsid w:val="00F73360"/>
    <w:rsid w:val="00F7459F"/>
    <w:rsid w:val="00F80579"/>
    <w:rsid w:val="00F875CA"/>
    <w:rsid w:val="00F903E9"/>
    <w:rsid w:val="00F90860"/>
    <w:rsid w:val="00F90AF8"/>
    <w:rsid w:val="00F9393D"/>
    <w:rsid w:val="00F949F3"/>
    <w:rsid w:val="00FA4C7F"/>
    <w:rsid w:val="00FA5C4D"/>
    <w:rsid w:val="00FB0AA3"/>
    <w:rsid w:val="00FC3387"/>
    <w:rsid w:val="00FC7644"/>
    <w:rsid w:val="00FD1B8C"/>
    <w:rsid w:val="00FE29DB"/>
    <w:rsid w:val="00FE2EF8"/>
    <w:rsid w:val="00FE445B"/>
    <w:rsid w:val="00FE4464"/>
    <w:rsid w:val="00FE5FB4"/>
    <w:rsid w:val="00FE628E"/>
    <w:rsid w:val="00FF2B0C"/>
    <w:rsid w:val="00FF2C01"/>
    <w:rsid w:val="0108E013"/>
    <w:rsid w:val="010D8345"/>
    <w:rsid w:val="0122C19F"/>
    <w:rsid w:val="014590D1"/>
    <w:rsid w:val="015B32E2"/>
    <w:rsid w:val="016C937C"/>
    <w:rsid w:val="018AE391"/>
    <w:rsid w:val="018D6439"/>
    <w:rsid w:val="018E19E2"/>
    <w:rsid w:val="0192A882"/>
    <w:rsid w:val="01A0AB02"/>
    <w:rsid w:val="01A164A5"/>
    <w:rsid w:val="01A35B9B"/>
    <w:rsid w:val="01A8DAE6"/>
    <w:rsid w:val="01AA3F09"/>
    <w:rsid w:val="01CF0A72"/>
    <w:rsid w:val="01CFA5CF"/>
    <w:rsid w:val="01D0AC81"/>
    <w:rsid w:val="01D34D71"/>
    <w:rsid w:val="01E1A232"/>
    <w:rsid w:val="01E554EE"/>
    <w:rsid w:val="02152256"/>
    <w:rsid w:val="022DCA00"/>
    <w:rsid w:val="022DDC15"/>
    <w:rsid w:val="0240673E"/>
    <w:rsid w:val="024D56AB"/>
    <w:rsid w:val="025778CA"/>
    <w:rsid w:val="0258D794"/>
    <w:rsid w:val="02644935"/>
    <w:rsid w:val="026CB861"/>
    <w:rsid w:val="0274F081"/>
    <w:rsid w:val="02866B75"/>
    <w:rsid w:val="02901A51"/>
    <w:rsid w:val="02902D23"/>
    <w:rsid w:val="02B2E7B7"/>
    <w:rsid w:val="02B7B99A"/>
    <w:rsid w:val="02C2E44E"/>
    <w:rsid w:val="02EC2746"/>
    <w:rsid w:val="02ED2FA8"/>
    <w:rsid w:val="03001980"/>
    <w:rsid w:val="032177A9"/>
    <w:rsid w:val="0324CAFF"/>
    <w:rsid w:val="032E22F7"/>
    <w:rsid w:val="0337AEAC"/>
    <w:rsid w:val="0348C8C0"/>
    <w:rsid w:val="03500656"/>
    <w:rsid w:val="0351EB41"/>
    <w:rsid w:val="03570D79"/>
    <w:rsid w:val="0364980A"/>
    <w:rsid w:val="037345E0"/>
    <w:rsid w:val="0375CA8C"/>
    <w:rsid w:val="0387DE0A"/>
    <w:rsid w:val="038A3DF2"/>
    <w:rsid w:val="038CFB8D"/>
    <w:rsid w:val="039484A7"/>
    <w:rsid w:val="039DC0B2"/>
    <w:rsid w:val="03A8A5C4"/>
    <w:rsid w:val="03B9BD12"/>
    <w:rsid w:val="03C74B70"/>
    <w:rsid w:val="03D29ADA"/>
    <w:rsid w:val="03E7B6F1"/>
    <w:rsid w:val="03EAF1A7"/>
    <w:rsid w:val="03FB2568"/>
    <w:rsid w:val="0405FF11"/>
    <w:rsid w:val="040C46ED"/>
    <w:rsid w:val="04294273"/>
    <w:rsid w:val="042EAC08"/>
    <w:rsid w:val="04335577"/>
    <w:rsid w:val="044D9458"/>
    <w:rsid w:val="04533C9C"/>
    <w:rsid w:val="0460B346"/>
    <w:rsid w:val="046608FE"/>
    <w:rsid w:val="046DE9ED"/>
    <w:rsid w:val="047839B9"/>
    <w:rsid w:val="04812CC8"/>
    <w:rsid w:val="0484450D"/>
    <w:rsid w:val="04859195"/>
    <w:rsid w:val="04A32B8B"/>
    <w:rsid w:val="04C9F358"/>
    <w:rsid w:val="04D1DEC0"/>
    <w:rsid w:val="04EBFD19"/>
    <w:rsid w:val="04FE1779"/>
    <w:rsid w:val="0500A654"/>
    <w:rsid w:val="05086C22"/>
    <w:rsid w:val="0517332E"/>
    <w:rsid w:val="051A5BA2"/>
    <w:rsid w:val="0524BA66"/>
    <w:rsid w:val="052F3DDE"/>
    <w:rsid w:val="05393A1B"/>
    <w:rsid w:val="053CBF18"/>
    <w:rsid w:val="0545C6B6"/>
    <w:rsid w:val="054D2A35"/>
    <w:rsid w:val="055D9A7A"/>
    <w:rsid w:val="0561F6CB"/>
    <w:rsid w:val="056F8A7B"/>
    <w:rsid w:val="05756CD3"/>
    <w:rsid w:val="057635F6"/>
    <w:rsid w:val="057A1C10"/>
    <w:rsid w:val="059BC3B0"/>
    <w:rsid w:val="05A98848"/>
    <w:rsid w:val="05AF0F10"/>
    <w:rsid w:val="05C70FBE"/>
    <w:rsid w:val="05D389EE"/>
    <w:rsid w:val="05DE5778"/>
    <w:rsid w:val="05F5E1FF"/>
    <w:rsid w:val="0609B40A"/>
    <w:rsid w:val="0613EBBB"/>
    <w:rsid w:val="061C3C96"/>
    <w:rsid w:val="061C7C81"/>
    <w:rsid w:val="061D6A88"/>
    <w:rsid w:val="06234FF3"/>
    <w:rsid w:val="063D08C6"/>
    <w:rsid w:val="0640AE92"/>
    <w:rsid w:val="06485EBC"/>
    <w:rsid w:val="0649054C"/>
    <w:rsid w:val="065BE81E"/>
    <w:rsid w:val="06622CD2"/>
    <w:rsid w:val="0668DEB6"/>
    <w:rsid w:val="067767BD"/>
    <w:rsid w:val="06851116"/>
    <w:rsid w:val="068CFEDC"/>
    <w:rsid w:val="0699AA9D"/>
    <w:rsid w:val="06A56BBB"/>
    <w:rsid w:val="06A835C7"/>
    <w:rsid w:val="06C9E1E4"/>
    <w:rsid w:val="06CB0E33"/>
    <w:rsid w:val="06CD8C25"/>
    <w:rsid w:val="06D8987A"/>
    <w:rsid w:val="06EFCFD7"/>
    <w:rsid w:val="06F814D7"/>
    <w:rsid w:val="070EEC82"/>
    <w:rsid w:val="07139765"/>
    <w:rsid w:val="0716DC2E"/>
    <w:rsid w:val="07495702"/>
    <w:rsid w:val="0750F641"/>
    <w:rsid w:val="07578E04"/>
    <w:rsid w:val="07634D30"/>
    <w:rsid w:val="0764B70B"/>
    <w:rsid w:val="076A4083"/>
    <w:rsid w:val="077A27D9"/>
    <w:rsid w:val="078AC4C0"/>
    <w:rsid w:val="078D7DBC"/>
    <w:rsid w:val="079296A8"/>
    <w:rsid w:val="07ABCD51"/>
    <w:rsid w:val="07C4B9BA"/>
    <w:rsid w:val="07E1933C"/>
    <w:rsid w:val="07E7655C"/>
    <w:rsid w:val="07F7D082"/>
    <w:rsid w:val="0812149E"/>
    <w:rsid w:val="0816B1DA"/>
    <w:rsid w:val="081C39E3"/>
    <w:rsid w:val="082A51E8"/>
    <w:rsid w:val="082C5D52"/>
    <w:rsid w:val="084AB91B"/>
    <w:rsid w:val="084F1CA3"/>
    <w:rsid w:val="085E05DD"/>
    <w:rsid w:val="086730B2"/>
    <w:rsid w:val="086FDA9E"/>
    <w:rsid w:val="088E41E1"/>
    <w:rsid w:val="08A596BE"/>
    <w:rsid w:val="08A5C82C"/>
    <w:rsid w:val="08AB9BCF"/>
    <w:rsid w:val="08C2982A"/>
    <w:rsid w:val="08F5ACF9"/>
    <w:rsid w:val="08FF6EA7"/>
    <w:rsid w:val="08FFD6A1"/>
    <w:rsid w:val="0911B95E"/>
    <w:rsid w:val="0933B32F"/>
    <w:rsid w:val="09395C00"/>
    <w:rsid w:val="0941291F"/>
    <w:rsid w:val="096CDD37"/>
    <w:rsid w:val="096DB8A0"/>
    <w:rsid w:val="096F4FE9"/>
    <w:rsid w:val="09873E6C"/>
    <w:rsid w:val="098E1518"/>
    <w:rsid w:val="09910FDA"/>
    <w:rsid w:val="0993E849"/>
    <w:rsid w:val="099D647B"/>
    <w:rsid w:val="099E8D49"/>
    <w:rsid w:val="09B2820E"/>
    <w:rsid w:val="09B511D6"/>
    <w:rsid w:val="09BC7A03"/>
    <w:rsid w:val="09D5A488"/>
    <w:rsid w:val="09D7BED8"/>
    <w:rsid w:val="09D7E010"/>
    <w:rsid w:val="09ECABD1"/>
    <w:rsid w:val="09F066D3"/>
    <w:rsid w:val="0A093B4B"/>
    <w:rsid w:val="0A0FAF52"/>
    <w:rsid w:val="0A1937D9"/>
    <w:rsid w:val="0A1A9F76"/>
    <w:rsid w:val="0A2F1AA5"/>
    <w:rsid w:val="0A2FB599"/>
    <w:rsid w:val="0A48CAC5"/>
    <w:rsid w:val="0A5D6549"/>
    <w:rsid w:val="0A69ABF9"/>
    <w:rsid w:val="0A983B97"/>
    <w:rsid w:val="0AAC5074"/>
    <w:rsid w:val="0AB58DFF"/>
    <w:rsid w:val="0ACC834E"/>
    <w:rsid w:val="0ACFDC37"/>
    <w:rsid w:val="0AD7AFD6"/>
    <w:rsid w:val="0AF097CB"/>
    <w:rsid w:val="0AF95A31"/>
    <w:rsid w:val="0AF988CF"/>
    <w:rsid w:val="0AFCBFE4"/>
    <w:rsid w:val="0AFE2157"/>
    <w:rsid w:val="0B153B1D"/>
    <w:rsid w:val="0B358666"/>
    <w:rsid w:val="0B3621F6"/>
    <w:rsid w:val="0B736353"/>
    <w:rsid w:val="0B7D6B80"/>
    <w:rsid w:val="0B86A363"/>
    <w:rsid w:val="0B898462"/>
    <w:rsid w:val="0B8A5C87"/>
    <w:rsid w:val="0B8AA828"/>
    <w:rsid w:val="0B8C94FC"/>
    <w:rsid w:val="0B9E1E05"/>
    <w:rsid w:val="0BA7A9D2"/>
    <w:rsid w:val="0BADF7E3"/>
    <w:rsid w:val="0BCB85FA"/>
    <w:rsid w:val="0BE0C8C8"/>
    <w:rsid w:val="0BE80E06"/>
    <w:rsid w:val="0C0AE99E"/>
    <w:rsid w:val="0C0E2D00"/>
    <w:rsid w:val="0C29C255"/>
    <w:rsid w:val="0C2D4DBB"/>
    <w:rsid w:val="0C383F3B"/>
    <w:rsid w:val="0C3E23FE"/>
    <w:rsid w:val="0C5E29BD"/>
    <w:rsid w:val="0C70037D"/>
    <w:rsid w:val="0C71AA00"/>
    <w:rsid w:val="0C7CAA56"/>
    <w:rsid w:val="0C7DB30D"/>
    <w:rsid w:val="0CA41F53"/>
    <w:rsid w:val="0CB34C33"/>
    <w:rsid w:val="0CB817C8"/>
    <w:rsid w:val="0CC18956"/>
    <w:rsid w:val="0CC2C607"/>
    <w:rsid w:val="0CD067E5"/>
    <w:rsid w:val="0CD399B2"/>
    <w:rsid w:val="0CDD831E"/>
    <w:rsid w:val="0CE3D995"/>
    <w:rsid w:val="0CEA22FD"/>
    <w:rsid w:val="0CEF7A32"/>
    <w:rsid w:val="0CFD5C59"/>
    <w:rsid w:val="0D0F4CA5"/>
    <w:rsid w:val="0D18FDEF"/>
    <w:rsid w:val="0D1FE165"/>
    <w:rsid w:val="0D227A21"/>
    <w:rsid w:val="0D26F456"/>
    <w:rsid w:val="0D2F2457"/>
    <w:rsid w:val="0D4B1805"/>
    <w:rsid w:val="0D67565B"/>
    <w:rsid w:val="0D6D5245"/>
    <w:rsid w:val="0D7FC427"/>
    <w:rsid w:val="0D8338CF"/>
    <w:rsid w:val="0D8A79AC"/>
    <w:rsid w:val="0D8A8F4D"/>
    <w:rsid w:val="0D99E884"/>
    <w:rsid w:val="0D9ADEBC"/>
    <w:rsid w:val="0DA0D43F"/>
    <w:rsid w:val="0DA3BC95"/>
    <w:rsid w:val="0DAE7FDE"/>
    <w:rsid w:val="0DC11D7E"/>
    <w:rsid w:val="0DC58DFF"/>
    <w:rsid w:val="0DCBD9D2"/>
    <w:rsid w:val="0DCF63A4"/>
    <w:rsid w:val="0DDD9656"/>
    <w:rsid w:val="0DF1F840"/>
    <w:rsid w:val="0DF276C2"/>
    <w:rsid w:val="0E094CEE"/>
    <w:rsid w:val="0E250B74"/>
    <w:rsid w:val="0E337E51"/>
    <w:rsid w:val="0E3C5CCB"/>
    <w:rsid w:val="0E415AD3"/>
    <w:rsid w:val="0E426FFB"/>
    <w:rsid w:val="0E4A151C"/>
    <w:rsid w:val="0E4C5F5C"/>
    <w:rsid w:val="0E4FC82C"/>
    <w:rsid w:val="0E55CA8B"/>
    <w:rsid w:val="0E62A601"/>
    <w:rsid w:val="0EA8F000"/>
    <w:rsid w:val="0EC5A155"/>
    <w:rsid w:val="0ED81C31"/>
    <w:rsid w:val="0EF7BF4B"/>
    <w:rsid w:val="0EFACA43"/>
    <w:rsid w:val="0F1501E4"/>
    <w:rsid w:val="0F1D7B4F"/>
    <w:rsid w:val="0F26DEDE"/>
    <w:rsid w:val="0F2894FB"/>
    <w:rsid w:val="0F39E2C4"/>
    <w:rsid w:val="0F3DE1ED"/>
    <w:rsid w:val="0F625E6E"/>
    <w:rsid w:val="0F629E62"/>
    <w:rsid w:val="0F66EE1B"/>
    <w:rsid w:val="0F6ECBAD"/>
    <w:rsid w:val="0F7AC4A8"/>
    <w:rsid w:val="0F8409D2"/>
    <w:rsid w:val="0F86F8C8"/>
    <w:rsid w:val="0F918DBD"/>
    <w:rsid w:val="0FA6927F"/>
    <w:rsid w:val="0FA8F1A6"/>
    <w:rsid w:val="0FAD31F8"/>
    <w:rsid w:val="0FB74928"/>
    <w:rsid w:val="0FB85BFE"/>
    <w:rsid w:val="0FBA983E"/>
    <w:rsid w:val="0FC12FB7"/>
    <w:rsid w:val="0FD0C998"/>
    <w:rsid w:val="0FD3739B"/>
    <w:rsid w:val="1015B106"/>
    <w:rsid w:val="101F10A8"/>
    <w:rsid w:val="1033BCF2"/>
    <w:rsid w:val="103B96C8"/>
    <w:rsid w:val="104D1799"/>
    <w:rsid w:val="10566E44"/>
    <w:rsid w:val="10722C93"/>
    <w:rsid w:val="10725F21"/>
    <w:rsid w:val="107AEC83"/>
    <w:rsid w:val="109AFF9B"/>
    <w:rsid w:val="10A4F307"/>
    <w:rsid w:val="10CF9955"/>
    <w:rsid w:val="10FDDE44"/>
    <w:rsid w:val="110406D5"/>
    <w:rsid w:val="1115CAB9"/>
    <w:rsid w:val="11208C53"/>
    <w:rsid w:val="11277AF8"/>
    <w:rsid w:val="1142753A"/>
    <w:rsid w:val="1145E3C6"/>
    <w:rsid w:val="114E029F"/>
    <w:rsid w:val="116E45C2"/>
    <w:rsid w:val="116E5BCA"/>
    <w:rsid w:val="118099B0"/>
    <w:rsid w:val="118D7C4A"/>
    <w:rsid w:val="11B01BC9"/>
    <w:rsid w:val="11BBA32A"/>
    <w:rsid w:val="11C28C0E"/>
    <w:rsid w:val="11DFE9F4"/>
    <w:rsid w:val="11E445C0"/>
    <w:rsid w:val="11E9B32E"/>
    <w:rsid w:val="120F2BF8"/>
    <w:rsid w:val="121FC9E5"/>
    <w:rsid w:val="123245B7"/>
    <w:rsid w:val="1236141A"/>
    <w:rsid w:val="123ABA15"/>
    <w:rsid w:val="123AC77E"/>
    <w:rsid w:val="1252726F"/>
    <w:rsid w:val="125E5EB3"/>
    <w:rsid w:val="126627B0"/>
    <w:rsid w:val="1266AF78"/>
    <w:rsid w:val="1267F31C"/>
    <w:rsid w:val="126A23BF"/>
    <w:rsid w:val="12705535"/>
    <w:rsid w:val="1275A712"/>
    <w:rsid w:val="127E2299"/>
    <w:rsid w:val="12909959"/>
    <w:rsid w:val="12A21A3C"/>
    <w:rsid w:val="12A6C4E6"/>
    <w:rsid w:val="12B56D86"/>
    <w:rsid w:val="12B6A9A4"/>
    <w:rsid w:val="12CE3274"/>
    <w:rsid w:val="12D1CB27"/>
    <w:rsid w:val="12DB3AE5"/>
    <w:rsid w:val="12DE1ADF"/>
    <w:rsid w:val="12E8739B"/>
    <w:rsid w:val="12F1CC65"/>
    <w:rsid w:val="12F5092A"/>
    <w:rsid w:val="12F56FA7"/>
    <w:rsid w:val="12FC9D9A"/>
    <w:rsid w:val="1314B8D9"/>
    <w:rsid w:val="131B5700"/>
    <w:rsid w:val="1321BE25"/>
    <w:rsid w:val="13302DC8"/>
    <w:rsid w:val="133B20AE"/>
    <w:rsid w:val="1342920D"/>
    <w:rsid w:val="1355F92C"/>
    <w:rsid w:val="136FEF11"/>
    <w:rsid w:val="1376ECC8"/>
    <w:rsid w:val="13856807"/>
    <w:rsid w:val="138A646B"/>
    <w:rsid w:val="138ECA29"/>
    <w:rsid w:val="13BA3136"/>
    <w:rsid w:val="13CC7984"/>
    <w:rsid w:val="13D44BD8"/>
    <w:rsid w:val="13D733AB"/>
    <w:rsid w:val="1405B2B7"/>
    <w:rsid w:val="1428C1D3"/>
    <w:rsid w:val="142CF890"/>
    <w:rsid w:val="142DD835"/>
    <w:rsid w:val="1445538B"/>
    <w:rsid w:val="147E020A"/>
    <w:rsid w:val="1488578D"/>
    <w:rsid w:val="14955758"/>
    <w:rsid w:val="149F94CF"/>
    <w:rsid w:val="14A26489"/>
    <w:rsid w:val="14A3A42A"/>
    <w:rsid w:val="14CB5DE7"/>
    <w:rsid w:val="14DE626E"/>
    <w:rsid w:val="14F95AD0"/>
    <w:rsid w:val="14FA083B"/>
    <w:rsid w:val="15019AE0"/>
    <w:rsid w:val="151B9E2A"/>
    <w:rsid w:val="15283DBA"/>
    <w:rsid w:val="153A3684"/>
    <w:rsid w:val="153C0284"/>
    <w:rsid w:val="15508DDE"/>
    <w:rsid w:val="15661484"/>
    <w:rsid w:val="1569FF7E"/>
    <w:rsid w:val="15709A93"/>
    <w:rsid w:val="157373C3"/>
    <w:rsid w:val="1574ADE1"/>
    <w:rsid w:val="15867683"/>
    <w:rsid w:val="158691C6"/>
    <w:rsid w:val="15917082"/>
    <w:rsid w:val="15A01B32"/>
    <w:rsid w:val="15A64548"/>
    <w:rsid w:val="15AA8C36"/>
    <w:rsid w:val="15B4A3D4"/>
    <w:rsid w:val="15C0A779"/>
    <w:rsid w:val="15C29502"/>
    <w:rsid w:val="15CFA3DA"/>
    <w:rsid w:val="15D4CFDC"/>
    <w:rsid w:val="15DDD72C"/>
    <w:rsid w:val="15F9E50D"/>
    <w:rsid w:val="16113450"/>
    <w:rsid w:val="161DE1E2"/>
    <w:rsid w:val="163E69E3"/>
    <w:rsid w:val="164A94C5"/>
    <w:rsid w:val="164E0F41"/>
    <w:rsid w:val="164FAD73"/>
    <w:rsid w:val="1664CBFB"/>
    <w:rsid w:val="16663A5A"/>
    <w:rsid w:val="1666EA1A"/>
    <w:rsid w:val="166B0298"/>
    <w:rsid w:val="167FC59B"/>
    <w:rsid w:val="16821C5F"/>
    <w:rsid w:val="1683D509"/>
    <w:rsid w:val="16930037"/>
    <w:rsid w:val="169542E4"/>
    <w:rsid w:val="16B554B6"/>
    <w:rsid w:val="16BCCCD7"/>
    <w:rsid w:val="16D50781"/>
    <w:rsid w:val="16E7CEEA"/>
    <w:rsid w:val="16EB88B0"/>
    <w:rsid w:val="16EBCF59"/>
    <w:rsid w:val="16F34B76"/>
    <w:rsid w:val="16FF4146"/>
    <w:rsid w:val="170CF5D5"/>
    <w:rsid w:val="172CDCC8"/>
    <w:rsid w:val="1756873F"/>
    <w:rsid w:val="17612E55"/>
    <w:rsid w:val="176D3CE1"/>
    <w:rsid w:val="1772BC18"/>
    <w:rsid w:val="1784C836"/>
    <w:rsid w:val="1785FE94"/>
    <w:rsid w:val="178A2E58"/>
    <w:rsid w:val="1791ACAF"/>
    <w:rsid w:val="1797396B"/>
    <w:rsid w:val="1799D191"/>
    <w:rsid w:val="179B137C"/>
    <w:rsid w:val="17A51F13"/>
    <w:rsid w:val="17ABBF49"/>
    <w:rsid w:val="17B8C0FB"/>
    <w:rsid w:val="17C0DA5F"/>
    <w:rsid w:val="17DC47FA"/>
    <w:rsid w:val="17E3730F"/>
    <w:rsid w:val="17EABD85"/>
    <w:rsid w:val="17F447D9"/>
    <w:rsid w:val="17F73BE3"/>
    <w:rsid w:val="17FC237E"/>
    <w:rsid w:val="17FC4A1C"/>
    <w:rsid w:val="17FC7B42"/>
    <w:rsid w:val="17FE603A"/>
    <w:rsid w:val="18091096"/>
    <w:rsid w:val="181B62F9"/>
    <w:rsid w:val="1820804B"/>
    <w:rsid w:val="18483A5D"/>
    <w:rsid w:val="184BF6FC"/>
    <w:rsid w:val="185CE0B9"/>
    <w:rsid w:val="18737B54"/>
    <w:rsid w:val="1895C96C"/>
    <w:rsid w:val="18997911"/>
    <w:rsid w:val="18BACE57"/>
    <w:rsid w:val="18BCFD72"/>
    <w:rsid w:val="18BD5CEE"/>
    <w:rsid w:val="18C6699D"/>
    <w:rsid w:val="18CFB28F"/>
    <w:rsid w:val="18D823BC"/>
    <w:rsid w:val="18F5CCC9"/>
    <w:rsid w:val="190404E8"/>
    <w:rsid w:val="191BC7E8"/>
    <w:rsid w:val="1925F0CC"/>
    <w:rsid w:val="192DC01C"/>
    <w:rsid w:val="1931DD6B"/>
    <w:rsid w:val="19356928"/>
    <w:rsid w:val="193D6CFD"/>
    <w:rsid w:val="194FCF4A"/>
    <w:rsid w:val="1960A6A9"/>
    <w:rsid w:val="196EE950"/>
    <w:rsid w:val="19732FCD"/>
    <w:rsid w:val="1977199E"/>
    <w:rsid w:val="197D8AC1"/>
    <w:rsid w:val="1981CF5B"/>
    <w:rsid w:val="198291D8"/>
    <w:rsid w:val="198A5FEA"/>
    <w:rsid w:val="19BABD68"/>
    <w:rsid w:val="19CE4053"/>
    <w:rsid w:val="19CF0B05"/>
    <w:rsid w:val="19D562FA"/>
    <w:rsid w:val="19EE3ACE"/>
    <w:rsid w:val="19F50579"/>
    <w:rsid w:val="1A06B9FE"/>
    <w:rsid w:val="1A305DEC"/>
    <w:rsid w:val="1A38CA9C"/>
    <w:rsid w:val="1A3A95EF"/>
    <w:rsid w:val="1A4161CE"/>
    <w:rsid w:val="1A4DC6E9"/>
    <w:rsid w:val="1A565CCB"/>
    <w:rsid w:val="1A5ABB91"/>
    <w:rsid w:val="1A695CF5"/>
    <w:rsid w:val="1A71E9ED"/>
    <w:rsid w:val="1A7D30FF"/>
    <w:rsid w:val="1A85719E"/>
    <w:rsid w:val="1A87AC0B"/>
    <w:rsid w:val="1A9124BB"/>
    <w:rsid w:val="1A944EF0"/>
    <w:rsid w:val="1A9A2FCE"/>
    <w:rsid w:val="1AAB80C2"/>
    <w:rsid w:val="1AD75078"/>
    <w:rsid w:val="1AE3233C"/>
    <w:rsid w:val="1AFDDBBC"/>
    <w:rsid w:val="1B1FF2E9"/>
    <w:rsid w:val="1B2750E9"/>
    <w:rsid w:val="1B38B5BD"/>
    <w:rsid w:val="1B44106F"/>
    <w:rsid w:val="1B50558C"/>
    <w:rsid w:val="1B57462C"/>
    <w:rsid w:val="1B73626B"/>
    <w:rsid w:val="1B8C2845"/>
    <w:rsid w:val="1B952051"/>
    <w:rsid w:val="1B96F95C"/>
    <w:rsid w:val="1BA70441"/>
    <w:rsid w:val="1BBB318C"/>
    <w:rsid w:val="1BC5B193"/>
    <w:rsid w:val="1BE4545E"/>
    <w:rsid w:val="1BECE79A"/>
    <w:rsid w:val="1BF2D388"/>
    <w:rsid w:val="1BF806E6"/>
    <w:rsid w:val="1BF96D97"/>
    <w:rsid w:val="1C10A428"/>
    <w:rsid w:val="1C10D334"/>
    <w:rsid w:val="1C24DD3C"/>
    <w:rsid w:val="1C6426E3"/>
    <w:rsid w:val="1C6B9E98"/>
    <w:rsid w:val="1C86925F"/>
    <w:rsid w:val="1CAD76FC"/>
    <w:rsid w:val="1CAE54B0"/>
    <w:rsid w:val="1CB2015F"/>
    <w:rsid w:val="1CC6E15D"/>
    <w:rsid w:val="1CC8DBC6"/>
    <w:rsid w:val="1CD9E84C"/>
    <w:rsid w:val="1CF9BC55"/>
    <w:rsid w:val="1D0A3A3C"/>
    <w:rsid w:val="1D19CD10"/>
    <w:rsid w:val="1D2FBB4F"/>
    <w:rsid w:val="1D3B0B46"/>
    <w:rsid w:val="1D3C3E09"/>
    <w:rsid w:val="1D4D32AA"/>
    <w:rsid w:val="1D56DEE2"/>
    <w:rsid w:val="1D5FA5D3"/>
    <w:rsid w:val="1D5FAC0B"/>
    <w:rsid w:val="1D934F79"/>
    <w:rsid w:val="1DAEB2B3"/>
    <w:rsid w:val="1DB27E90"/>
    <w:rsid w:val="1DB2E529"/>
    <w:rsid w:val="1DBC6F92"/>
    <w:rsid w:val="1DD20EC7"/>
    <w:rsid w:val="1DD82855"/>
    <w:rsid w:val="1DDF4294"/>
    <w:rsid w:val="1DE06966"/>
    <w:rsid w:val="1DE2CFE7"/>
    <w:rsid w:val="1DF586E3"/>
    <w:rsid w:val="1E0C43DE"/>
    <w:rsid w:val="1E0CCEAB"/>
    <w:rsid w:val="1E1CB052"/>
    <w:rsid w:val="1E34B7C3"/>
    <w:rsid w:val="1E396CDA"/>
    <w:rsid w:val="1E3C75A1"/>
    <w:rsid w:val="1E5088C5"/>
    <w:rsid w:val="1E6D7EBD"/>
    <w:rsid w:val="1E7BA6E6"/>
    <w:rsid w:val="1E9522D3"/>
    <w:rsid w:val="1E9E89D9"/>
    <w:rsid w:val="1EABF0F6"/>
    <w:rsid w:val="1EAE3C83"/>
    <w:rsid w:val="1EB1D897"/>
    <w:rsid w:val="1EBE7131"/>
    <w:rsid w:val="1EC026CC"/>
    <w:rsid w:val="1EDA11B8"/>
    <w:rsid w:val="1EE67CB7"/>
    <w:rsid w:val="1EE6EAB3"/>
    <w:rsid w:val="1EED4CC4"/>
    <w:rsid w:val="1EFD2D72"/>
    <w:rsid w:val="1F03182B"/>
    <w:rsid w:val="1F04F1E9"/>
    <w:rsid w:val="1F1DBD3B"/>
    <w:rsid w:val="1F2413F6"/>
    <w:rsid w:val="1F3AD37C"/>
    <w:rsid w:val="1F51CC9A"/>
    <w:rsid w:val="1F69D4AB"/>
    <w:rsid w:val="1F813A45"/>
    <w:rsid w:val="1F81CBCD"/>
    <w:rsid w:val="1F8F8C7C"/>
    <w:rsid w:val="1F98C65F"/>
    <w:rsid w:val="1FAF9F0D"/>
    <w:rsid w:val="1FB28F34"/>
    <w:rsid w:val="1FC14617"/>
    <w:rsid w:val="1FC470BA"/>
    <w:rsid w:val="1FC72C1A"/>
    <w:rsid w:val="1FD46F3B"/>
    <w:rsid w:val="1FD47527"/>
    <w:rsid w:val="1FEBCA8F"/>
    <w:rsid w:val="1FF13D65"/>
    <w:rsid w:val="1FF47C95"/>
    <w:rsid w:val="1FFC0211"/>
    <w:rsid w:val="201851FE"/>
    <w:rsid w:val="20377994"/>
    <w:rsid w:val="2065BD37"/>
    <w:rsid w:val="207C232E"/>
    <w:rsid w:val="2098E95B"/>
    <w:rsid w:val="20B73622"/>
    <w:rsid w:val="20C0261F"/>
    <w:rsid w:val="20C1AD01"/>
    <w:rsid w:val="20C340F4"/>
    <w:rsid w:val="20CC29E4"/>
    <w:rsid w:val="20D6D51F"/>
    <w:rsid w:val="20D8E20B"/>
    <w:rsid w:val="20ECE27B"/>
    <w:rsid w:val="20F787BD"/>
    <w:rsid w:val="210A6E13"/>
    <w:rsid w:val="210C5002"/>
    <w:rsid w:val="211281F2"/>
    <w:rsid w:val="211B537E"/>
    <w:rsid w:val="211E2FF1"/>
    <w:rsid w:val="212891DC"/>
    <w:rsid w:val="21384B0E"/>
    <w:rsid w:val="2142A166"/>
    <w:rsid w:val="2143A06B"/>
    <w:rsid w:val="214720DE"/>
    <w:rsid w:val="217354EF"/>
    <w:rsid w:val="217D4FA1"/>
    <w:rsid w:val="2184ED97"/>
    <w:rsid w:val="21904755"/>
    <w:rsid w:val="219FFD8E"/>
    <w:rsid w:val="21B2C9F1"/>
    <w:rsid w:val="21B5924E"/>
    <w:rsid w:val="21B63222"/>
    <w:rsid w:val="21F9A145"/>
    <w:rsid w:val="21FE04B0"/>
    <w:rsid w:val="2201FC2A"/>
    <w:rsid w:val="22158DE3"/>
    <w:rsid w:val="221E787E"/>
    <w:rsid w:val="223B0E67"/>
    <w:rsid w:val="2242D04B"/>
    <w:rsid w:val="2248ECAF"/>
    <w:rsid w:val="225793B6"/>
    <w:rsid w:val="2266CD9E"/>
    <w:rsid w:val="2280634A"/>
    <w:rsid w:val="2280C8D6"/>
    <w:rsid w:val="2285AC85"/>
    <w:rsid w:val="22896D5C"/>
    <w:rsid w:val="22906FD3"/>
    <w:rsid w:val="22961CA5"/>
    <w:rsid w:val="22A63E74"/>
    <w:rsid w:val="22A76DE2"/>
    <w:rsid w:val="22BA0052"/>
    <w:rsid w:val="22D969FC"/>
    <w:rsid w:val="22E2B0B7"/>
    <w:rsid w:val="22E88475"/>
    <w:rsid w:val="22F353DA"/>
    <w:rsid w:val="22F5A683"/>
    <w:rsid w:val="230E4D1C"/>
    <w:rsid w:val="2311B36C"/>
    <w:rsid w:val="2312F432"/>
    <w:rsid w:val="2329BE25"/>
    <w:rsid w:val="2334EBEC"/>
    <w:rsid w:val="2338AD1B"/>
    <w:rsid w:val="233F0AD8"/>
    <w:rsid w:val="234E092B"/>
    <w:rsid w:val="235F2F0A"/>
    <w:rsid w:val="236664D3"/>
    <w:rsid w:val="236B864B"/>
    <w:rsid w:val="237EE092"/>
    <w:rsid w:val="238CF54F"/>
    <w:rsid w:val="2395A234"/>
    <w:rsid w:val="239A9130"/>
    <w:rsid w:val="239F57CB"/>
    <w:rsid w:val="23A199D5"/>
    <w:rsid w:val="23A72E3D"/>
    <w:rsid w:val="23AD3439"/>
    <w:rsid w:val="23B1B364"/>
    <w:rsid w:val="23B4EC9F"/>
    <w:rsid w:val="23C2339C"/>
    <w:rsid w:val="23C5F77B"/>
    <w:rsid w:val="23C6484F"/>
    <w:rsid w:val="23D09E95"/>
    <w:rsid w:val="23D3EA58"/>
    <w:rsid w:val="23E48DC2"/>
    <w:rsid w:val="23ED01E7"/>
    <w:rsid w:val="23F29209"/>
    <w:rsid w:val="24060B1C"/>
    <w:rsid w:val="240D6BBC"/>
    <w:rsid w:val="241330D2"/>
    <w:rsid w:val="24147E11"/>
    <w:rsid w:val="2417CC80"/>
    <w:rsid w:val="241AA7BD"/>
    <w:rsid w:val="24381FF8"/>
    <w:rsid w:val="243DAE0E"/>
    <w:rsid w:val="24655898"/>
    <w:rsid w:val="246A08D9"/>
    <w:rsid w:val="24762404"/>
    <w:rsid w:val="2477110F"/>
    <w:rsid w:val="248CA39A"/>
    <w:rsid w:val="2490A0C5"/>
    <w:rsid w:val="24C14BD0"/>
    <w:rsid w:val="24C3911D"/>
    <w:rsid w:val="24C4ED4C"/>
    <w:rsid w:val="24C6D331"/>
    <w:rsid w:val="24CDD5C0"/>
    <w:rsid w:val="24E31BD1"/>
    <w:rsid w:val="24F41224"/>
    <w:rsid w:val="2501BA4D"/>
    <w:rsid w:val="2510DF40"/>
    <w:rsid w:val="251AE94B"/>
    <w:rsid w:val="253F0E06"/>
    <w:rsid w:val="2542233F"/>
    <w:rsid w:val="25494427"/>
    <w:rsid w:val="256B2C5A"/>
    <w:rsid w:val="256B8332"/>
    <w:rsid w:val="2577D467"/>
    <w:rsid w:val="257AF087"/>
    <w:rsid w:val="2583FB15"/>
    <w:rsid w:val="259308D7"/>
    <w:rsid w:val="25960D54"/>
    <w:rsid w:val="25AB5D6F"/>
    <w:rsid w:val="25B0AAC6"/>
    <w:rsid w:val="25B4DEE3"/>
    <w:rsid w:val="25B63D9E"/>
    <w:rsid w:val="25BAD8F8"/>
    <w:rsid w:val="25BD525B"/>
    <w:rsid w:val="25DDDF36"/>
    <w:rsid w:val="25EFB142"/>
    <w:rsid w:val="260F41A7"/>
    <w:rsid w:val="26134CDF"/>
    <w:rsid w:val="2616CDE5"/>
    <w:rsid w:val="262D4745"/>
    <w:rsid w:val="2657D747"/>
    <w:rsid w:val="2664D897"/>
    <w:rsid w:val="266B1663"/>
    <w:rsid w:val="2685AF3E"/>
    <w:rsid w:val="268D74E4"/>
    <w:rsid w:val="269F2C0A"/>
    <w:rsid w:val="26A1A3BF"/>
    <w:rsid w:val="26BC40B9"/>
    <w:rsid w:val="26D285A7"/>
    <w:rsid w:val="26DB0311"/>
    <w:rsid w:val="26E08687"/>
    <w:rsid w:val="26EE3BF9"/>
    <w:rsid w:val="26F686CA"/>
    <w:rsid w:val="26F8CF47"/>
    <w:rsid w:val="2701EAC0"/>
    <w:rsid w:val="270E8330"/>
    <w:rsid w:val="27155BAE"/>
    <w:rsid w:val="272310D5"/>
    <w:rsid w:val="272604AD"/>
    <w:rsid w:val="272C4745"/>
    <w:rsid w:val="273FCDA6"/>
    <w:rsid w:val="2745EE97"/>
    <w:rsid w:val="2755EBB5"/>
    <w:rsid w:val="275D1E1B"/>
    <w:rsid w:val="276FB785"/>
    <w:rsid w:val="277815CD"/>
    <w:rsid w:val="277AEEF1"/>
    <w:rsid w:val="27889B22"/>
    <w:rsid w:val="2788F324"/>
    <w:rsid w:val="27984B62"/>
    <w:rsid w:val="27ADDF27"/>
    <w:rsid w:val="27BC17F0"/>
    <w:rsid w:val="27D4F598"/>
    <w:rsid w:val="27D7C393"/>
    <w:rsid w:val="27F0E9D0"/>
    <w:rsid w:val="280FFC52"/>
    <w:rsid w:val="28110E16"/>
    <w:rsid w:val="2819FD7C"/>
    <w:rsid w:val="281A0145"/>
    <w:rsid w:val="281ADD9B"/>
    <w:rsid w:val="281CEBB7"/>
    <w:rsid w:val="281F042D"/>
    <w:rsid w:val="2825F8BF"/>
    <w:rsid w:val="282C743D"/>
    <w:rsid w:val="2838538C"/>
    <w:rsid w:val="283C3AD8"/>
    <w:rsid w:val="2841436C"/>
    <w:rsid w:val="28483F63"/>
    <w:rsid w:val="28726DF6"/>
    <w:rsid w:val="287DBF18"/>
    <w:rsid w:val="288D2553"/>
    <w:rsid w:val="28A77089"/>
    <w:rsid w:val="28B87DAA"/>
    <w:rsid w:val="28C14A99"/>
    <w:rsid w:val="28CF61FC"/>
    <w:rsid w:val="28D07DE8"/>
    <w:rsid w:val="28D86BAE"/>
    <w:rsid w:val="28DBE832"/>
    <w:rsid w:val="28DF8683"/>
    <w:rsid w:val="28F09EAB"/>
    <w:rsid w:val="28F222BA"/>
    <w:rsid w:val="2914EB0F"/>
    <w:rsid w:val="29162CBC"/>
    <w:rsid w:val="291DBD79"/>
    <w:rsid w:val="292389D2"/>
    <w:rsid w:val="292DCAE8"/>
    <w:rsid w:val="293DA9FF"/>
    <w:rsid w:val="294BBFAA"/>
    <w:rsid w:val="294F971F"/>
    <w:rsid w:val="2959B3AB"/>
    <w:rsid w:val="297787EF"/>
    <w:rsid w:val="297A09B8"/>
    <w:rsid w:val="29A160FC"/>
    <w:rsid w:val="29A393CA"/>
    <w:rsid w:val="29AF1AC8"/>
    <w:rsid w:val="29C5409A"/>
    <w:rsid w:val="29D78B17"/>
    <w:rsid w:val="29E482E7"/>
    <w:rsid w:val="29E7F69D"/>
    <w:rsid w:val="29F5D7ED"/>
    <w:rsid w:val="29F8A5EB"/>
    <w:rsid w:val="2A0A7308"/>
    <w:rsid w:val="2A0D8051"/>
    <w:rsid w:val="2A0E3E57"/>
    <w:rsid w:val="2A127EE9"/>
    <w:rsid w:val="2A1EAB8A"/>
    <w:rsid w:val="2A2E48D8"/>
    <w:rsid w:val="2A312221"/>
    <w:rsid w:val="2A3B0DB0"/>
    <w:rsid w:val="2A4E40C2"/>
    <w:rsid w:val="2A63C6C5"/>
    <w:rsid w:val="2A735DB9"/>
    <w:rsid w:val="2A7ED0E8"/>
    <w:rsid w:val="2A90F740"/>
    <w:rsid w:val="2AA291F1"/>
    <w:rsid w:val="2AA39FA9"/>
    <w:rsid w:val="2AB0C2E5"/>
    <w:rsid w:val="2AB1FD1D"/>
    <w:rsid w:val="2AC5B991"/>
    <w:rsid w:val="2ADF49B7"/>
    <w:rsid w:val="2AE03007"/>
    <w:rsid w:val="2AE60E26"/>
    <w:rsid w:val="2B01FE02"/>
    <w:rsid w:val="2B04DDBA"/>
    <w:rsid w:val="2B180126"/>
    <w:rsid w:val="2B1D5649"/>
    <w:rsid w:val="2B242364"/>
    <w:rsid w:val="2B3CCF13"/>
    <w:rsid w:val="2B3F6260"/>
    <w:rsid w:val="2B419837"/>
    <w:rsid w:val="2B728CAC"/>
    <w:rsid w:val="2B743887"/>
    <w:rsid w:val="2B804E08"/>
    <w:rsid w:val="2B805348"/>
    <w:rsid w:val="2B8A8679"/>
    <w:rsid w:val="2B91A84E"/>
    <w:rsid w:val="2BA6B1B3"/>
    <w:rsid w:val="2BA6B92F"/>
    <w:rsid w:val="2BB28EFE"/>
    <w:rsid w:val="2BB55FDA"/>
    <w:rsid w:val="2BDF114B"/>
    <w:rsid w:val="2BF3ED59"/>
    <w:rsid w:val="2C07FD70"/>
    <w:rsid w:val="2C0FAD01"/>
    <w:rsid w:val="2C267142"/>
    <w:rsid w:val="2C2794BF"/>
    <w:rsid w:val="2C356756"/>
    <w:rsid w:val="2C36C6EA"/>
    <w:rsid w:val="2C3B9247"/>
    <w:rsid w:val="2C7932DB"/>
    <w:rsid w:val="2C7B1A18"/>
    <w:rsid w:val="2C8087FF"/>
    <w:rsid w:val="2C967A7A"/>
    <w:rsid w:val="2CA0AE1B"/>
    <w:rsid w:val="2CA5AF22"/>
    <w:rsid w:val="2CAC0911"/>
    <w:rsid w:val="2CAD355D"/>
    <w:rsid w:val="2CF265DB"/>
    <w:rsid w:val="2CFE59DF"/>
    <w:rsid w:val="2D0308A1"/>
    <w:rsid w:val="2D073E1A"/>
    <w:rsid w:val="2D14417D"/>
    <w:rsid w:val="2D23C5BC"/>
    <w:rsid w:val="2D4367C5"/>
    <w:rsid w:val="2D486AAC"/>
    <w:rsid w:val="2D4DE0B6"/>
    <w:rsid w:val="2D51303B"/>
    <w:rsid w:val="2D555156"/>
    <w:rsid w:val="2D5A9737"/>
    <w:rsid w:val="2D5EEC55"/>
    <w:rsid w:val="2D5F0776"/>
    <w:rsid w:val="2D601EB0"/>
    <w:rsid w:val="2D60B131"/>
    <w:rsid w:val="2D6C256E"/>
    <w:rsid w:val="2D7302F0"/>
    <w:rsid w:val="2D7A00DF"/>
    <w:rsid w:val="2D814AA9"/>
    <w:rsid w:val="2DA80E20"/>
    <w:rsid w:val="2DA85502"/>
    <w:rsid w:val="2DBDF1DF"/>
    <w:rsid w:val="2DC14981"/>
    <w:rsid w:val="2DC9A831"/>
    <w:rsid w:val="2DD8CC22"/>
    <w:rsid w:val="2DFE67AA"/>
    <w:rsid w:val="2E129498"/>
    <w:rsid w:val="2E235BB7"/>
    <w:rsid w:val="2E33D44A"/>
    <w:rsid w:val="2E417F83"/>
    <w:rsid w:val="2E498E0F"/>
    <w:rsid w:val="2E4C3253"/>
    <w:rsid w:val="2E5007E2"/>
    <w:rsid w:val="2E584704"/>
    <w:rsid w:val="2E587829"/>
    <w:rsid w:val="2E619FFA"/>
    <w:rsid w:val="2E6B4AF9"/>
    <w:rsid w:val="2E7FDF3B"/>
    <w:rsid w:val="2E88C406"/>
    <w:rsid w:val="2E9A2D00"/>
    <w:rsid w:val="2EA5C538"/>
    <w:rsid w:val="2EB0CD9E"/>
    <w:rsid w:val="2EB19073"/>
    <w:rsid w:val="2ECF0AFD"/>
    <w:rsid w:val="2ECFDD28"/>
    <w:rsid w:val="2ED58977"/>
    <w:rsid w:val="2ED697DA"/>
    <w:rsid w:val="2EE3769F"/>
    <w:rsid w:val="2EE819C1"/>
    <w:rsid w:val="2EFD7DB4"/>
    <w:rsid w:val="2F064C14"/>
    <w:rsid w:val="2F0C907A"/>
    <w:rsid w:val="2F360A2E"/>
    <w:rsid w:val="2F37266E"/>
    <w:rsid w:val="2F4BD091"/>
    <w:rsid w:val="2F4EC807"/>
    <w:rsid w:val="2F53BC71"/>
    <w:rsid w:val="2F5401A4"/>
    <w:rsid w:val="2F69EFA0"/>
    <w:rsid w:val="2F6B991F"/>
    <w:rsid w:val="2F70E4F3"/>
    <w:rsid w:val="2F7978B1"/>
    <w:rsid w:val="2F80F5DE"/>
    <w:rsid w:val="2F90FB76"/>
    <w:rsid w:val="2F94A1B3"/>
    <w:rsid w:val="2FA858F5"/>
    <w:rsid w:val="2FB2CDCF"/>
    <w:rsid w:val="2FCC3A68"/>
    <w:rsid w:val="2FD84EDD"/>
    <w:rsid w:val="2FE40E7A"/>
    <w:rsid w:val="2FEF0B20"/>
    <w:rsid w:val="2FFD91DC"/>
    <w:rsid w:val="2FFE0060"/>
    <w:rsid w:val="301579AE"/>
    <w:rsid w:val="301721AF"/>
    <w:rsid w:val="301B9610"/>
    <w:rsid w:val="303262B0"/>
    <w:rsid w:val="303BE2DB"/>
    <w:rsid w:val="3056A607"/>
    <w:rsid w:val="3056ED6E"/>
    <w:rsid w:val="305984DE"/>
    <w:rsid w:val="3064F20D"/>
    <w:rsid w:val="306C88E8"/>
    <w:rsid w:val="30963DE6"/>
    <w:rsid w:val="30B985CA"/>
    <w:rsid w:val="30BCBE6F"/>
    <w:rsid w:val="30C45B15"/>
    <w:rsid w:val="30C523BF"/>
    <w:rsid w:val="30C7FF53"/>
    <w:rsid w:val="30CC0333"/>
    <w:rsid w:val="30CD77F7"/>
    <w:rsid w:val="30D7357C"/>
    <w:rsid w:val="30EA08A9"/>
    <w:rsid w:val="30F634E0"/>
    <w:rsid w:val="31003FE4"/>
    <w:rsid w:val="31051316"/>
    <w:rsid w:val="31117E44"/>
    <w:rsid w:val="3113247F"/>
    <w:rsid w:val="312C4076"/>
    <w:rsid w:val="312D281A"/>
    <w:rsid w:val="312E5E37"/>
    <w:rsid w:val="312ECFEB"/>
    <w:rsid w:val="3142B3E6"/>
    <w:rsid w:val="31492D33"/>
    <w:rsid w:val="316210A5"/>
    <w:rsid w:val="31660A75"/>
    <w:rsid w:val="31663354"/>
    <w:rsid w:val="3170DE33"/>
    <w:rsid w:val="318CCB00"/>
    <w:rsid w:val="318F42DA"/>
    <w:rsid w:val="3196FD2F"/>
    <w:rsid w:val="319D68C8"/>
    <w:rsid w:val="31A0F3C3"/>
    <w:rsid w:val="31A67832"/>
    <w:rsid w:val="31ADC6CD"/>
    <w:rsid w:val="31BA5B76"/>
    <w:rsid w:val="31D333BA"/>
    <w:rsid w:val="31D679C4"/>
    <w:rsid w:val="31EA1104"/>
    <w:rsid w:val="31EAB00F"/>
    <w:rsid w:val="321044A6"/>
    <w:rsid w:val="3223FC10"/>
    <w:rsid w:val="324BDBAD"/>
    <w:rsid w:val="3254F089"/>
    <w:rsid w:val="325AC0DC"/>
    <w:rsid w:val="325C06D7"/>
    <w:rsid w:val="326462AB"/>
    <w:rsid w:val="3267AF63"/>
    <w:rsid w:val="326D04F1"/>
    <w:rsid w:val="32906416"/>
    <w:rsid w:val="32ACD6E4"/>
    <w:rsid w:val="32AFA5A0"/>
    <w:rsid w:val="32B776C3"/>
    <w:rsid w:val="32C58FD5"/>
    <w:rsid w:val="32E72921"/>
    <w:rsid w:val="3310F4FC"/>
    <w:rsid w:val="3319BE95"/>
    <w:rsid w:val="331F13D3"/>
    <w:rsid w:val="33219BA4"/>
    <w:rsid w:val="33258C94"/>
    <w:rsid w:val="332B7444"/>
    <w:rsid w:val="335AE3B4"/>
    <w:rsid w:val="335CC3C8"/>
    <w:rsid w:val="3363D333"/>
    <w:rsid w:val="336568E4"/>
    <w:rsid w:val="336E97CF"/>
    <w:rsid w:val="3376A3BB"/>
    <w:rsid w:val="33854939"/>
    <w:rsid w:val="338BC23C"/>
    <w:rsid w:val="33929B80"/>
    <w:rsid w:val="3393EC9D"/>
    <w:rsid w:val="33A62D1F"/>
    <w:rsid w:val="33A81C4D"/>
    <w:rsid w:val="33B11406"/>
    <w:rsid w:val="33B27F78"/>
    <w:rsid w:val="33B5209D"/>
    <w:rsid w:val="33C88BD2"/>
    <w:rsid w:val="33CA3A4A"/>
    <w:rsid w:val="33D23024"/>
    <w:rsid w:val="33D6B771"/>
    <w:rsid w:val="3407DC70"/>
    <w:rsid w:val="3412AAE7"/>
    <w:rsid w:val="3437E0A6"/>
    <w:rsid w:val="343A4011"/>
    <w:rsid w:val="344EA6A7"/>
    <w:rsid w:val="344ED27B"/>
    <w:rsid w:val="3456E6ED"/>
    <w:rsid w:val="3485A39F"/>
    <w:rsid w:val="348FCCAA"/>
    <w:rsid w:val="349A50E9"/>
    <w:rsid w:val="349CE0AB"/>
    <w:rsid w:val="34B2C97F"/>
    <w:rsid w:val="34BA6205"/>
    <w:rsid w:val="34C15CF5"/>
    <w:rsid w:val="34CEE9CF"/>
    <w:rsid w:val="34D765DB"/>
    <w:rsid w:val="34DB034A"/>
    <w:rsid w:val="34DBFC9D"/>
    <w:rsid w:val="34EC4378"/>
    <w:rsid w:val="34EDB81C"/>
    <w:rsid w:val="34F5CF05"/>
    <w:rsid w:val="34FAF868"/>
    <w:rsid w:val="34FCD84D"/>
    <w:rsid w:val="35098A93"/>
    <w:rsid w:val="3513EFD0"/>
    <w:rsid w:val="351AD021"/>
    <w:rsid w:val="35334576"/>
    <w:rsid w:val="3536155A"/>
    <w:rsid w:val="3539AC4E"/>
    <w:rsid w:val="3544D2BF"/>
    <w:rsid w:val="3548F426"/>
    <w:rsid w:val="3550F0FE"/>
    <w:rsid w:val="356044FD"/>
    <w:rsid w:val="3561F729"/>
    <w:rsid w:val="3566E264"/>
    <w:rsid w:val="3571B1D0"/>
    <w:rsid w:val="35757DCA"/>
    <w:rsid w:val="357BD566"/>
    <w:rsid w:val="357CC961"/>
    <w:rsid w:val="358FE544"/>
    <w:rsid w:val="35AA4CC5"/>
    <w:rsid w:val="35AAE796"/>
    <w:rsid w:val="35B41F77"/>
    <w:rsid w:val="35D3AF13"/>
    <w:rsid w:val="35D4BA16"/>
    <w:rsid w:val="35E36E59"/>
    <w:rsid w:val="35EA7708"/>
    <w:rsid w:val="35EEE6D2"/>
    <w:rsid w:val="3600B143"/>
    <w:rsid w:val="361480FF"/>
    <w:rsid w:val="362D16CF"/>
    <w:rsid w:val="363941B3"/>
    <w:rsid w:val="363EA5D7"/>
    <w:rsid w:val="363EFDE9"/>
    <w:rsid w:val="364A223A"/>
    <w:rsid w:val="36505B30"/>
    <w:rsid w:val="3656977A"/>
    <w:rsid w:val="36615995"/>
    <w:rsid w:val="36723CB3"/>
    <w:rsid w:val="36B66825"/>
    <w:rsid w:val="36BC3131"/>
    <w:rsid w:val="36C950FC"/>
    <w:rsid w:val="36CD3DF0"/>
    <w:rsid w:val="36E7264A"/>
    <w:rsid w:val="36EED603"/>
    <w:rsid w:val="3713B2A7"/>
    <w:rsid w:val="3725E172"/>
    <w:rsid w:val="37381B18"/>
    <w:rsid w:val="3738ABA8"/>
    <w:rsid w:val="373B1AD8"/>
    <w:rsid w:val="3741F098"/>
    <w:rsid w:val="37508148"/>
    <w:rsid w:val="3763713B"/>
    <w:rsid w:val="37699CBF"/>
    <w:rsid w:val="376B88ED"/>
    <w:rsid w:val="3779B420"/>
    <w:rsid w:val="379BB6A8"/>
    <w:rsid w:val="37A141A0"/>
    <w:rsid w:val="37C18E33"/>
    <w:rsid w:val="37CA7A55"/>
    <w:rsid w:val="37CE25BD"/>
    <w:rsid w:val="37CE612D"/>
    <w:rsid w:val="37D0D4BC"/>
    <w:rsid w:val="37D85CA0"/>
    <w:rsid w:val="3803CDDD"/>
    <w:rsid w:val="38172942"/>
    <w:rsid w:val="3819487D"/>
    <w:rsid w:val="381C2AD7"/>
    <w:rsid w:val="3820C287"/>
    <w:rsid w:val="382B028A"/>
    <w:rsid w:val="382EB9D7"/>
    <w:rsid w:val="382FEC8E"/>
    <w:rsid w:val="3830B9D6"/>
    <w:rsid w:val="3845ADF3"/>
    <w:rsid w:val="3855941C"/>
    <w:rsid w:val="385B6517"/>
    <w:rsid w:val="3866A241"/>
    <w:rsid w:val="386A9DDD"/>
    <w:rsid w:val="3871D355"/>
    <w:rsid w:val="3877A1C3"/>
    <w:rsid w:val="388644F6"/>
    <w:rsid w:val="388D29BD"/>
    <w:rsid w:val="389C650B"/>
    <w:rsid w:val="38B36B3B"/>
    <w:rsid w:val="38CB2B7C"/>
    <w:rsid w:val="38D2AAA6"/>
    <w:rsid w:val="38D3DF3B"/>
    <w:rsid w:val="38D5FE2B"/>
    <w:rsid w:val="39089828"/>
    <w:rsid w:val="39299936"/>
    <w:rsid w:val="393D4EED"/>
    <w:rsid w:val="3942AABA"/>
    <w:rsid w:val="394845E6"/>
    <w:rsid w:val="394BCEB9"/>
    <w:rsid w:val="394ECD05"/>
    <w:rsid w:val="396BD1C3"/>
    <w:rsid w:val="39732047"/>
    <w:rsid w:val="3994CE18"/>
    <w:rsid w:val="3997A7CF"/>
    <w:rsid w:val="39998D34"/>
    <w:rsid w:val="39A5B0F7"/>
    <w:rsid w:val="39AF8EF4"/>
    <w:rsid w:val="39CA141B"/>
    <w:rsid w:val="39CA30FF"/>
    <w:rsid w:val="39D0B143"/>
    <w:rsid w:val="39E308AD"/>
    <w:rsid w:val="3A065E91"/>
    <w:rsid w:val="3A2316C6"/>
    <w:rsid w:val="3A35911E"/>
    <w:rsid w:val="3A35C030"/>
    <w:rsid w:val="3A35C554"/>
    <w:rsid w:val="3A801C4C"/>
    <w:rsid w:val="3A9C0795"/>
    <w:rsid w:val="3AA3CCE7"/>
    <w:rsid w:val="3AB2BB4D"/>
    <w:rsid w:val="3ACC7DED"/>
    <w:rsid w:val="3AE59633"/>
    <w:rsid w:val="3AEC8CC2"/>
    <w:rsid w:val="3B10D132"/>
    <w:rsid w:val="3B1981F5"/>
    <w:rsid w:val="3B23B916"/>
    <w:rsid w:val="3B27F011"/>
    <w:rsid w:val="3B46D6DD"/>
    <w:rsid w:val="3B4D708A"/>
    <w:rsid w:val="3B589D04"/>
    <w:rsid w:val="3B6CEDBE"/>
    <w:rsid w:val="3B8D1724"/>
    <w:rsid w:val="3B8F01FD"/>
    <w:rsid w:val="3B92094E"/>
    <w:rsid w:val="3BACB798"/>
    <w:rsid w:val="3BC03282"/>
    <w:rsid w:val="3BC1EA1C"/>
    <w:rsid w:val="3BC80688"/>
    <w:rsid w:val="3BC8A0F9"/>
    <w:rsid w:val="3BCDCE06"/>
    <w:rsid w:val="3BCF9EB6"/>
    <w:rsid w:val="3BEE4A44"/>
    <w:rsid w:val="3BF17B71"/>
    <w:rsid w:val="3BFA9D21"/>
    <w:rsid w:val="3C0A1F81"/>
    <w:rsid w:val="3C1485CC"/>
    <w:rsid w:val="3C3C7DBB"/>
    <w:rsid w:val="3C4F7F94"/>
    <w:rsid w:val="3C505CD4"/>
    <w:rsid w:val="3C77BF87"/>
    <w:rsid w:val="3C8D8D33"/>
    <w:rsid w:val="3CC8832B"/>
    <w:rsid w:val="3CD2AC54"/>
    <w:rsid w:val="3CD550BA"/>
    <w:rsid w:val="3CDBBD99"/>
    <w:rsid w:val="3CF07974"/>
    <w:rsid w:val="3CFB57A7"/>
    <w:rsid w:val="3CFBCB8D"/>
    <w:rsid w:val="3CFDAB7E"/>
    <w:rsid w:val="3CFEB989"/>
    <w:rsid w:val="3D09F006"/>
    <w:rsid w:val="3D17B55E"/>
    <w:rsid w:val="3D320357"/>
    <w:rsid w:val="3D3363F9"/>
    <w:rsid w:val="3D465BC3"/>
    <w:rsid w:val="3D582406"/>
    <w:rsid w:val="3D5DFDBC"/>
    <w:rsid w:val="3D5E521C"/>
    <w:rsid w:val="3D64BD99"/>
    <w:rsid w:val="3D797A3E"/>
    <w:rsid w:val="3D888B6A"/>
    <w:rsid w:val="3D9DEA88"/>
    <w:rsid w:val="3DAA4CFA"/>
    <w:rsid w:val="3DB13419"/>
    <w:rsid w:val="3DB2FA51"/>
    <w:rsid w:val="3DC36FCF"/>
    <w:rsid w:val="3DC5F12E"/>
    <w:rsid w:val="3DCA6DC1"/>
    <w:rsid w:val="3DE24ACB"/>
    <w:rsid w:val="3DE2C2B4"/>
    <w:rsid w:val="3E06F405"/>
    <w:rsid w:val="3E17ADD1"/>
    <w:rsid w:val="3E26D9DF"/>
    <w:rsid w:val="3E2799DE"/>
    <w:rsid w:val="3E3D1BF2"/>
    <w:rsid w:val="3E44D4DF"/>
    <w:rsid w:val="3E486CA9"/>
    <w:rsid w:val="3E490683"/>
    <w:rsid w:val="3E4F9C05"/>
    <w:rsid w:val="3E5417D1"/>
    <w:rsid w:val="3E6FC66F"/>
    <w:rsid w:val="3E9FC33F"/>
    <w:rsid w:val="3EAF8B42"/>
    <w:rsid w:val="3EB6C613"/>
    <w:rsid w:val="3EB803E7"/>
    <w:rsid w:val="3EB831CF"/>
    <w:rsid w:val="3ED4D11E"/>
    <w:rsid w:val="3ED75CCA"/>
    <w:rsid w:val="3EEA47B9"/>
    <w:rsid w:val="3EEB6BD9"/>
    <w:rsid w:val="3EFB71EE"/>
    <w:rsid w:val="3F1B01DF"/>
    <w:rsid w:val="3F21B10E"/>
    <w:rsid w:val="3F34C2D0"/>
    <w:rsid w:val="3F37FCD4"/>
    <w:rsid w:val="3F39CD60"/>
    <w:rsid w:val="3F3F24E6"/>
    <w:rsid w:val="3F55569C"/>
    <w:rsid w:val="3F5A8087"/>
    <w:rsid w:val="3F67E0CE"/>
    <w:rsid w:val="3F6CFFC7"/>
    <w:rsid w:val="3F7B119A"/>
    <w:rsid w:val="3F891F0C"/>
    <w:rsid w:val="3F8E5F3E"/>
    <w:rsid w:val="3F977AAD"/>
    <w:rsid w:val="3FA42184"/>
    <w:rsid w:val="3FA5E06F"/>
    <w:rsid w:val="3FBF93FA"/>
    <w:rsid w:val="3FD64D99"/>
    <w:rsid w:val="3FE4EF9E"/>
    <w:rsid w:val="3FE7D49B"/>
    <w:rsid w:val="3FEB9637"/>
    <w:rsid w:val="3FEC179F"/>
    <w:rsid w:val="3FF2735E"/>
    <w:rsid w:val="3FF960E0"/>
    <w:rsid w:val="4001CB94"/>
    <w:rsid w:val="400F1743"/>
    <w:rsid w:val="4030FDC7"/>
    <w:rsid w:val="40452E4E"/>
    <w:rsid w:val="405B4EEC"/>
    <w:rsid w:val="405D5BFB"/>
    <w:rsid w:val="406FC078"/>
    <w:rsid w:val="4076BDD9"/>
    <w:rsid w:val="407977CE"/>
    <w:rsid w:val="408FF6F1"/>
    <w:rsid w:val="40AD3ACF"/>
    <w:rsid w:val="40B52EF5"/>
    <w:rsid w:val="40BB1E1C"/>
    <w:rsid w:val="40F3ABD5"/>
    <w:rsid w:val="40F58092"/>
    <w:rsid w:val="4107CAC6"/>
    <w:rsid w:val="41119D92"/>
    <w:rsid w:val="4115E0CD"/>
    <w:rsid w:val="413269C2"/>
    <w:rsid w:val="4140706C"/>
    <w:rsid w:val="414323AB"/>
    <w:rsid w:val="41441CDA"/>
    <w:rsid w:val="414EC094"/>
    <w:rsid w:val="41504426"/>
    <w:rsid w:val="416C639C"/>
    <w:rsid w:val="41922918"/>
    <w:rsid w:val="4196C31D"/>
    <w:rsid w:val="419AA049"/>
    <w:rsid w:val="41C285F9"/>
    <w:rsid w:val="41C3EA97"/>
    <w:rsid w:val="41C9E681"/>
    <w:rsid w:val="41E1BDED"/>
    <w:rsid w:val="420578B6"/>
    <w:rsid w:val="42157F2E"/>
    <w:rsid w:val="42227C4A"/>
    <w:rsid w:val="422E208C"/>
    <w:rsid w:val="4239863B"/>
    <w:rsid w:val="423B9330"/>
    <w:rsid w:val="423E7368"/>
    <w:rsid w:val="423EBC81"/>
    <w:rsid w:val="42521C86"/>
    <w:rsid w:val="427487DA"/>
    <w:rsid w:val="42819508"/>
    <w:rsid w:val="428D565E"/>
    <w:rsid w:val="4291CFCE"/>
    <w:rsid w:val="42B83F70"/>
    <w:rsid w:val="42C25C89"/>
    <w:rsid w:val="42FFB7F2"/>
    <w:rsid w:val="4313615E"/>
    <w:rsid w:val="431DF022"/>
    <w:rsid w:val="4327C27A"/>
    <w:rsid w:val="433E2183"/>
    <w:rsid w:val="434253FD"/>
    <w:rsid w:val="435591C8"/>
    <w:rsid w:val="435ED746"/>
    <w:rsid w:val="4360804D"/>
    <w:rsid w:val="439DFFC9"/>
    <w:rsid w:val="43A80470"/>
    <w:rsid w:val="43A85A5C"/>
    <w:rsid w:val="43B11890"/>
    <w:rsid w:val="43C43E6F"/>
    <w:rsid w:val="43C7B05B"/>
    <w:rsid w:val="43CDE62B"/>
    <w:rsid w:val="43D9BF45"/>
    <w:rsid w:val="43E5230B"/>
    <w:rsid w:val="43EA072A"/>
    <w:rsid w:val="43FA3604"/>
    <w:rsid w:val="4410E35E"/>
    <w:rsid w:val="442035B7"/>
    <w:rsid w:val="44220678"/>
    <w:rsid w:val="44281C44"/>
    <w:rsid w:val="4450A114"/>
    <w:rsid w:val="445AE57F"/>
    <w:rsid w:val="445C1D7B"/>
    <w:rsid w:val="445E28C4"/>
    <w:rsid w:val="44652F9E"/>
    <w:rsid w:val="446B33F8"/>
    <w:rsid w:val="4478E451"/>
    <w:rsid w:val="4494E80A"/>
    <w:rsid w:val="44A09FDD"/>
    <w:rsid w:val="44A7EB16"/>
    <w:rsid w:val="44B4D4AC"/>
    <w:rsid w:val="44BCD080"/>
    <w:rsid w:val="44D4AD0C"/>
    <w:rsid w:val="44E0F79E"/>
    <w:rsid w:val="44F92A55"/>
    <w:rsid w:val="44FCF8ED"/>
    <w:rsid w:val="450AECCA"/>
    <w:rsid w:val="450D1264"/>
    <w:rsid w:val="4516F8E8"/>
    <w:rsid w:val="4532D648"/>
    <w:rsid w:val="45755F6A"/>
    <w:rsid w:val="45B87D0E"/>
    <w:rsid w:val="45C49820"/>
    <w:rsid w:val="45DC0B6B"/>
    <w:rsid w:val="45EBF3F7"/>
    <w:rsid w:val="45F15A04"/>
    <w:rsid w:val="45F53DD7"/>
    <w:rsid w:val="46054AF0"/>
    <w:rsid w:val="461BB32C"/>
    <w:rsid w:val="462948F4"/>
    <w:rsid w:val="464717E7"/>
    <w:rsid w:val="46537253"/>
    <w:rsid w:val="4673C848"/>
    <w:rsid w:val="4676B94E"/>
    <w:rsid w:val="467CC7FF"/>
    <w:rsid w:val="46A677FE"/>
    <w:rsid w:val="46B8E4FB"/>
    <w:rsid w:val="46C68AC3"/>
    <w:rsid w:val="46C8F440"/>
    <w:rsid w:val="46F0CA90"/>
    <w:rsid w:val="46F6C138"/>
    <w:rsid w:val="470EAD13"/>
    <w:rsid w:val="47272A04"/>
    <w:rsid w:val="472A82EA"/>
    <w:rsid w:val="4731D6C6"/>
    <w:rsid w:val="475BF15A"/>
    <w:rsid w:val="47652E92"/>
    <w:rsid w:val="47692792"/>
    <w:rsid w:val="47863EEC"/>
    <w:rsid w:val="478E2346"/>
    <w:rsid w:val="479229F1"/>
    <w:rsid w:val="4797EAB0"/>
    <w:rsid w:val="47A3A81C"/>
    <w:rsid w:val="47C45F68"/>
    <w:rsid w:val="47CADE49"/>
    <w:rsid w:val="47D17C2A"/>
    <w:rsid w:val="47D74FC9"/>
    <w:rsid w:val="47DD7FBF"/>
    <w:rsid w:val="47E2A27E"/>
    <w:rsid w:val="47E884C1"/>
    <w:rsid w:val="4808C801"/>
    <w:rsid w:val="480D3956"/>
    <w:rsid w:val="480EEE63"/>
    <w:rsid w:val="481EA51A"/>
    <w:rsid w:val="4823A522"/>
    <w:rsid w:val="4835E8E7"/>
    <w:rsid w:val="48408BD4"/>
    <w:rsid w:val="4841F3C6"/>
    <w:rsid w:val="484BE005"/>
    <w:rsid w:val="485FC290"/>
    <w:rsid w:val="48629972"/>
    <w:rsid w:val="48690CAE"/>
    <w:rsid w:val="488B2727"/>
    <w:rsid w:val="4891C85F"/>
    <w:rsid w:val="48BE1A95"/>
    <w:rsid w:val="48DF78B7"/>
    <w:rsid w:val="49116CDE"/>
    <w:rsid w:val="4921CE4D"/>
    <w:rsid w:val="49256248"/>
    <w:rsid w:val="493471B7"/>
    <w:rsid w:val="49455521"/>
    <w:rsid w:val="4948E96F"/>
    <w:rsid w:val="497F9959"/>
    <w:rsid w:val="498AD826"/>
    <w:rsid w:val="499354C1"/>
    <w:rsid w:val="499F2FE1"/>
    <w:rsid w:val="49A359F3"/>
    <w:rsid w:val="49B76C53"/>
    <w:rsid w:val="49BC564A"/>
    <w:rsid w:val="49C00617"/>
    <w:rsid w:val="49C66B9A"/>
    <w:rsid w:val="49C7AF47"/>
    <w:rsid w:val="49E194DB"/>
    <w:rsid w:val="49EB8242"/>
    <w:rsid w:val="4A0A29DA"/>
    <w:rsid w:val="4A1B300B"/>
    <w:rsid w:val="4A2BFE87"/>
    <w:rsid w:val="4A3385F4"/>
    <w:rsid w:val="4A42200E"/>
    <w:rsid w:val="4A442910"/>
    <w:rsid w:val="4A81929D"/>
    <w:rsid w:val="4A8500FC"/>
    <w:rsid w:val="4A91F322"/>
    <w:rsid w:val="4AB8E336"/>
    <w:rsid w:val="4AB99133"/>
    <w:rsid w:val="4AD40BF5"/>
    <w:rsid w:val="4ADAE9AD"/>
    <w:rsid w:val="4ADB11CB"/>
    <w:rsid w:val="4AE3092F"/>
    <w:rsid w:val="4AF296DE"/>
    <w:rsid w:val="4AFB9280"/>
    <w:rsid w:val="4B04298E"/>
    <w:rsid w:val="4B1A4308"/>
    <w:rsid w:val="4B26C33C"/>
    <w:rsid w:val="4B322260"/>
    <w:rsid w:val="4B33BE74"/>
    <w:rsid w:val="4B45168C"/>
    <w:rsid w:val="4B480437"/>
    <w:rsid w:val="4B61BB80"/>
    <w:rsid w:val="4B653808"/>
    <w:rsid w:val="4B66775E"/>
    <w:rsid w:val="4B80A1A7"/>
    <w:rsid w:val="4B86E792"/>
    <w:rsid w:val="4B8DC7F6"/>
    <w:rsid w:val="4B97E08A"/>
    <w:rsid w:val="4BA3547F"/>
    <w:rsid w:val="4BBF9DC4"/>
    <w:rsid w:val="4BD107D2"/>
    <w:rsid w:val="4BD80007"/>
    <w:rsid w:val="4BE1B3F4"/>
    <w:rsid w:val="4BE3D4D1"/>
    <w:rsid w:val="4BF25910"/>
    <w:rsid w:val="4BF7CB48"/>
    <w:rsid w:val="4C0023A3"/>
    <w:rsid w:val="4C066BD0"/>
    <w:rsid w:val="4C06FC8C"/>
    <w:rsid w:val="4C0F2CEF"/>
    <w:rsid w:val="4C265C66"/>
    <w:rsid w:val="4C29BFB2"/>
    <w:rsid w:val="4C332235"/>
    <w:rsid w:val="4C3D6C84"/>
    <w:rsid w:val="4C5C819F"/>
    <w:rsid w:val="4C639CA1"/>
    <w:rsid w:val="4C6E0D15"/>
    <w:rsid w:val="4C7E19EA"/>
    <w:rsid w:val="4C885AA6"/>
    <w:rsid w:val="4C9575B7"/>
    <w:rsid w:val="4C9CE69A"/>
    <w:rsid w:val="4CA5EA75"/>
    <w:rsid w:val="4CBDB38C"/>
    <w:rsid w:val="4CD0BFDF"/>
    <w:rsid w:val="4CD3A839"/>
    <w:rsid w:val="4CE514A8"/>
    <w:rsid w:val="4CF2F443"/>
    <w:rsid w:val="4CF6D522"/>
    <w:rsid w:val="4CF771E6"/>
    <w:rsid w:val="4D1C7603"/>
    <w:rsid w:val="4D352443"/>
    <w:rsid w:val="4D4ADE50"/>
    <w:rsid w:val="4D51F858"/>
    <w:rsid w:val="4D587CE4"/>
    <w:rsid w:val="4D640476"/>
    <w:rsid w:val="4D858088"/>
    <w:rsid w:val="4D8C20F3"/>
    <w:rsid w:val="4D8DC475"/>
    <w:rsid w:val="4DB145D9"/>
    <w:rsid w:val="4DCEF7C7"/>
    <w:rsid w:val="4DD40F1A"/>
    <w:rsid w:val="4DD7C524"/>
    <w:rsid w:val="4E036AEE"/>
    <w:rsid w:val="4E25A13D"/>
    <w:rsid w:val="4E2DF99E"/>
    <w:rsid w:val="4E4A1682"/>
    <w:rsid w:val="4E58FDC7"/>
    <w:rsid w:val="4E5E781E"/>
    <w:rsid w:val="4E6D2B19"/>
    <w:rsid w:val="4E6F28C9"/>
    <w:rsid w:val="4E73F8EF"/>
    <w:rsid w:val="4E94D258"/>
    <w:rsid w:val="4E95B223"/>
    <w:rsid w:val="4EA0F033"/>
    <w:rsid w:val="4EA19A37"/>
    <w:rsid w:val="4EA55FF7"/>
    <w:rsid w:val="4EAF965A"/>
    <w:rsid w:val="4EB62B17"/>
    <w:rsid w:val="4EBF30F5"/>
    <w:rsid w:val="4ECD521A"/>
    <w:rsid w:val="4ED824E1"/>
    <w:rsid w:val="4EDBE093"/>
    <w:rsid w:val="4EEBF37F"/>
    <w:rsid w:val="4EF14486"/>
    <w:rsid w:val="4EFC70E5"/>
    <w:rsid w:val="4F010E32"/>
    <w:rsid w:val="4F08FEE0"/>
    <w:rsid w:val="4F0A0474"/>
    <w:rsid w:val="4F2219FE"/>
    <w:rsid w:val="4F25250A"/>
    <w:rsid w:val="4F2E1EB8"/>
    <w:rsid w:val="4F4332B2"/>
    <w:rsid w:val="4F476296"/>
    <w:rsid w:val="4F4C742A"/>
    <w:rsid w:val="4F504F33"/>
    <w:rsid w:val="4F5FD193"/>
    <w:rsid w:val="4F62D71F"/>
    <w:rsid w:val="4F724602"/>
    <w:rsid w:val="4F856C38"/>
    <w:rsid w:val="4FAC2F16"/>
    <w:rsid w:val="4FB21E16"/>
    <w:rsid w:val="4FB557D4"/>
    <w:rsid w:val="4FC0C5AB"/>
    <w:rsid w:val="4FD0D2DD"/>
    <w:rsid w:val="4FD19FC9"/>
    <w:rsid w:val="4FD74075"/>
    <w:rsid w:val="4FEC2422"/>
    <w:rsid w:val="4FEDD30D"/>
    <w:rsid w:val="4FF52CAE"/>
    <w:rsid w:val="500467C7"/>
    <w:rsid w:val="5010CDD5"/>
    <w:rsid w:val="501184F9"/>
    <w:rsid w:val="5019361C"/>
    <w:rsid w:val="501F1E31"/>
    <w:rsid w:val="5024A625"/>
    <w:rsid w:val="502A323D"/>
    <w:rsid w:val="502D14D4"/>
    <w:rsid w:val="5030DEBE"/>
    <w:rsid w:val="50447FD0"/>
    <w:rsid w:val="5046BB88"/>
    <w:rsid w:val="504D2003"/>
    <w:rsid w:val="50664A25"/>
    <w:rsid w:val="5070C03E"/>
    <w:rsid w:val="50763E7E"/>
    <w:rsid w:val="5091193D"/>
    <w:rsid w:val="50A58C22"/>
    <w:rsid w:val="50ADABA7"/>
    <w:rsid w:val="50D5CF8D"/>
    <w:rsid w:val="50D5D132"/>
    <w:rsid w:val="5106790E"/>
    <w:rsid w:val="5110B2BF"/>
    <w:rsid w:val="51136AD8"/>
    <w:rsid w:val="511979AD"/>
    <w:rsid w:val="5122F3B0"/>
    <w:rsid w:val="5134B128"/>
    <w:rsid w:val="513A893B"/>
    <w:rsid w:val="51450CCA"/>
    <w:rsid w:val="51528395"/>
    <w:rsid w:val="51702C38"/>
    <w:rsid w:val="518727C9"/>
    <w:rsid w:val="518B4467"/>
    <w:rsid w:val="519E744A"/>
    <w:rsid w:val="51A0A236"/>
    <w:rsid w:val="51A7A5A6"/>
    <w:rsid w:val="51D1ACA4"/>
    <w:rsid w:val="51F7CD68"/>
    <w:rsid w:val="5201C56D"/>
    <w:rsid w:val="520F3D7D"/>
    <w:rsid w:val="521FE9E2"/>
    <w:rsid w:val="523BA1D5"/>
    <w:rsid w:val="523C0F9B"/>
    <w:rsid w:val="523FD2CE"/>
    <w:rsid w:val="526D3401"/>
    <w:rsid w:val="52708C00"/>
    <w:rsid w:val="5281F256"/>
    <w:rsid w:val="5287EFF5"/>
    <w:rsid w:val="52A0625E"/>
    <w:rsid w:val="52D29B72"/>
    <w:rsid w:val="52DC8AD8"/>
    <w:rsid w:val="52E0E72B"/>
    <w:rsid w:val="52E1301E"/>
    <w:rsid w:val="52E293D7"/>
    <w:rsid w:val="52E420F1"/>
    <w:rsid w:val="52FD485B"/>
    <w:rsid w:val="530A5C84"/>
    <w:rsid w:val="53281FEC"/>
    <w:rsid w:val="532AACD3"/>
    <w:rsid w:val="533B4E90"/>
    <w:rsid w:val="53469B99"/>
    <w:rsid w:val="535E6224"/>
    <w:rsid w:val="53719506"/>
    <w:rsid w:val="537F343A"/>
    <w:rsid w:val="538386AA"/>
    <w:rsid w:val="5384C3AA"/>
    <w:rsid w:val="538F5F2E"/>
    <w:rsid w:val="539BAFCE"/>
    <w:rsid w:val="53AC744F"/>
    <w:rsid w:val="53B4F0B8"/>
    <w:rsid w:val="53C66BAC"/>
    <w:rsid w:val="53C96FA6"/>
    <w:rsid w:val="53D2E0CD"/>
    <w:rsid w:val="53D9194E"/>
    <w:rsid w:val="53DBE45B"/>
    <w:rsid w:val="53E4C406"/>
    <w:rsid w:val="53F5AEC0"/>
    <w:rsid w:val="53FFED63"/>
    <w:rsid w:val="540171A0"/>
    <w:rsid w:val="5404E2B9"/>
    <w:rsid w:val="540BCDA7"/>
    <w:rsid w:val="540EA997"/>
    <w:rsid w:val="5411E7D2"/>
    <w:rsid w:val="5413F559"/>
    <w:rsid w:val="542974D2"/>
    <w:rsid w:val="54305C64"/>
    <w:rsid w:val="543862D7"/>
    <w:rsid w:val="5444D5DD"/>
    <w:rsid w:val="544CBB54"/>
    <w:rsid w:val="544DAE22"/>
    <w:rsid w:val="54748082"/>
    <w:rsid w:val="5479ACA6"/>
    <w:rsid w:val="547D1664"/>
    <w:rsid w:val="54838178"/>
    <w:rsid w:val="5487FCA9"/>
    <w:rsid w:val="5499CAC9"/>
    <w:rsid w:val="54AEAB5A"/>
    <w:rsid w:val="54B9CCB5"/>
    <w:rsid w:val="54C1A5DF"/>
    <w:rsid w:val="54C1F0DB"/>
    <w:rsid w:val="54C9F68F"/>
    <w:rsid w:val="54CD3EBF"/>
    <w:rsid w:val="54CE9D07"/>
    <w:rsid w:val="54ED1532"/>
    <w:rsid w:val="54EDE519"/>
    <w:rsid w:val="54FDEEE5"/>
    <w:rsid w:val="54FFEFD6"/>
    <w:rsid w:val="55191A96"/>
    <w:rsid w:val="5528352F"/>
    <w:rsid w:val="552D41E9"/>
    <w:rsid w:val="55335549"/>
    <w:rsid w:val="55603B78"/>
    <w:rsid w:val="55789467"/>
    <w:rsid w:val="557FEF0B"/>
    <w:rsid w:val="55809DFB"/>
    <w:rsid w:val="558C07F6"/>
    <w:rsid w:val="5596A562"/>
    <w:rsid w:val="55AB50F3"/>
    <w:rsid w:val="55ADB833"/>
    <w:rsid w:val="55B9A7A1"/>
    <w:rsid w:val="55BF4BF7"/>
    <w:rsid w:val="55BF90B7"/>
    <w:rsid w:val="55C73DA6"/>
    <w:rsid w:val="55DFCB13"/>
    <w:rsid w:val="55E2ED25"/>
    <w:rsid w:val="55F0F14A"/>
    <w:rsid w:val="560101AA"/>
    <w:rsid w:val="560EFD8B"/>
    <w:rsid w:val="5617FAEF"/>
    <w:rsid w:val="5618F903"/>
    <w:rsid w:val="561C5145"/>
    <w:rsid w:val="561D7FD7"/>
    <w:rsid w:val="5638FDEC"/>
    <w:rsid w:val="563CA535"/>
    <w:rsid w:val="564FF57A"/>
    <w:rsid w:val="5655F747"/>
    <w:rsid w:val="5659B174"/>
    <w:rsid w:val="565CC40A"/>
    <w:rsid w:val="566D5900"/>
    <w:rsid w:val="568ADD68"/>
    <w:rsid w:val="56ABCB51"/>
    <w:rsid w:val="56B3D954"/>
    <w:rsid w:val="56B40B36"/>
    <w:rsid w:val="56B52647"/>
    <w:rsid w:val="56BA747A"/>
    <w:rsid w:val="56ED645F"/>
    <w:rsid w:val="56F62F8C"/>
    <w:rsid w:val="56F7930E"/>
    <w:rsid w:val="57098D07"/>
    <w:rsid w:val="5730AFAB"/>
    <w:rsid w:val="573D90C2"/>
    <w:rsid w:val="57436E69"/>
    <w:rsid w:val="5751B4F9"/>
    <w:rsid w:val="575B6118"/>
    <w:rsid w:val="576BA80D"/>
    <w:rsid w:val="5770605B"/>
    <w:rsid w:val="5774FE86"/>
    <w:rsid w:val="577E39E3"/>
    <w:rsid w:val="5782E82D"/>
    <w:rsid w:val="578A8C31"/>
    <w:rsid w:val="57959367"/>
    <w:rsid w:val="579AE2E6"/>
    <w:rsid w:val="579F3FA3"/>
    <w:rsid w:val="57A15426"/>
    <w:rsid w:val="57BCBE1C"/>
    <w:rsid w:val="57C3FF8D"/>
    <w:rsid w:val="57E2500F"/>
    <w:rsid w:val="57E85344"/>
    <w:rsid w:val="57F02122"/>
    <w:rsid w:val="57F40B83"/>
    <w:rsid w:val="57F4F7D0"/>
    <w:rsid w:val="5800DF13"/>
    <w:rsid w:val="581004D6"/>
    <w:rsid w:val="581A3941"/>
    <w:rsid w:val="583093A2"/>
    <w:rsid w:val="5843B93E"/>
    <w:rsid w:val="585D25EA"/>
    <w:rsid w:val="587C0222"/>
    <w:rsid w:val="587FF9DF"/>
    <w:rsid w:val="58832E7A"/>
    <w:rsid w:val="5894424D"/>
    <w:rsid w:val="58AF52D7"/>
    <w:rsid w:val="58BE707C"/>
    <w:rsid w:val="58CCA40E"/>
    <w:rsid w:val="58E8EF2C"/>
    <w:rsid w:val="58F1E2E3"/>
    <w:rsid w:val="5901FE92"/>
    <w:rsid w:val="5928C1E0"/>
    <w:rsid w:val="5929E665"/>
    <w:rsid w:val="5933404A"/>
    <w:rsid w:val="5934D222"/>
    <w:rsid w:val="595D4658"/>
    <w:rsid w:val="595E0EDB"/>
    <w:rsid w:val="59618BAE"/>
    <w:rsid w:val="5969A797"/>
    <w:rsid w:val="5974DDB2"/>
    <w:rsid w:val="59791151"/>
    <w:rsid w:val="598841D5"/>
    <w:rsid w:val="598D6235"/>
    <w:rsid w:val="599273DA"/>
    <w:rsid w:val="5993A6AD"/>
    <w:rsid w:val="59BC3925"/>
    <w:rsid w:val="59D6C159"/>
    <w:rsid w:val="59ED5566"/>
    <w:rsid w:val="59EF3D5E"/>
    <w:rsid w:val="59F65FDE"/>
    <w:rsid w:val="59FC257D"/>
    <w:rsid w:val="5A00ED03"/>
    <w:rsid w:val="5A214E53"/>
    <w:rsid w:val="5A3910CB"/>
    <w:rsid w:val="5A434191"/>
    <w:rsid w:val="5A4B4E27"/>
    <w:rsid w:val="5A5F0DB5"/>
    <w:rsid w:val="5A5F28F1"/>
    <w:rsid w:val="5A68A507"/>
    <w:rsid w:val="5A75DB13"/>
    <w:rsid w:val="5A8EFE0F"/>
    <w:rsid w:val="5A9B0A07"/>
    <w:rsid w:val="5AA55468"/>
    <w:rsid w:val="5AC15372"/>
    <w:rsid w:val="5AC578F4"/>
    <w:rsid w:val="5ACBFF30"/>
    <w:rsid w:val="5B1C001B"/>
    <w:rsid w:val="5B2D984C"/>
    <w:rsid w:val="5B34C255"/>
    <w:rsid w:val="5B49BA69"/>
    <w:rsid w:val="5B579063"/>
    <w:rsid w:val="5B6DFF6E"/>
    <w:rsid w:val="5B88C7A3"/>
    <w:rsid w:val="5B909F57"/>
    <w:rsid w:val="5BA4D495"/>
    <w:rsid w:val="5BAB2365"/>
    <w:rsid w:val="5BBD1EB4"/>
    <w:rsid w:val="5BBD7C9A"/>
    <w:rsid w:val="5BC53E3F"/>
    <w:rsid w:val="5BCD37FD"/>
    <w:rsid w:val="5BCFE127"/>
    <w:rsid w:val="5BE0E8E4"/>
    <w:rsid w:val="5BE1019D"/>
    <w:rsid w:val="5BF021B4"/>
    <w:rsid w:val="5BF2DE16"/>
    <w:rsid w:val="5BFCB655"/>
    <w:rsid w:val="5BFD0D4A"/>
    <w:rsid w:val="5C06A990"/>
    <w:rsid w:val="5C1EF1A8"/>
    <w:rsid w:val="5C2847AF"/>
    <w:rsid w:val="5C4465B8"/>
    <w:rsid w:val="5C4A1F7E"/>
    <w:rsid w:val="5C55116D"/>
    <w:rsid w:val="5C5B8B3D"/>
    <w:rsid w:val="5C5C361D"/>
    <w:rsid w:val="5C618727"/>
    <w:rsid w:val="5C8FA9F7"/>
    <w:rsid w:val="5C9BF713"/>
    <w:rsid w:val="5CAE2217"/>
    <w:rsid w:val="5CB40E4C"/>
    <w:rsid w:val="5CBB1D57"/>
    <w:rsid w:val="5CBD4C3F"/>
    <w:rsid w:val="5CBF0796"/>
    <w:rsid w:val="5CDDACAE"/>
    <w:rsid w:val="5D0347CC"/>
    <w:rsid w:val="5D0FBB86"/>
    <w:rsid w:val="5D222E47"/>
    <w:rsid w:val="5D28C156"/>
    <w:rsid w:val="5D2D5715"/>
    <w:rsid w:val="5D4730AE"/>
    <w:rsid w:val="5D572248"/>
    <w:rsid w:val="5D5ED8CA"/>
    <w:rsid w:val="5D634BFD"/>
    <w:rsid w:val="5D66F5C5"/>
    <w:rsid w:val="5D70E21D"/>
    <w:rsid w:val="5D76749D"/>
    <w:rsid w:val="5D83A38F"/>
    <w:rsid w:val="5D894B00"/>
    <w:rsid w:val="5DA5E267"/>
    <w:rsid w:val="5DA6013D"/>
    <w:rsid w:val="5DA853E6"/>
    <w:rsid w:val="5DAF4F65"/>
    <w:rsid w:val="5DB279CF"/>
    <w:rsid w:val="5DC55056"/>
    <w:rsid w:val="5DD0E232"/>
    <w:rsid w:val="5DD5F66C"/>
    <w:rsid w:val="5DD7E323"/>
    <w:rsid w:val="5DF06593"/>
    <w:rsid w:val="5E0F98C7"/>
    <w:rsid w:val="5E18E494"/>
    <w:rsid w:val="5E1B13C0"/>
    <w:rsid w:val="5E1C167C"/>
    <w:rsid w:val="5E1C7A6A"/>
    <w:rsid w:val="5E382541"/>
    <w:rsid w:val="5E38D37D"/>
    <w:rsid w:val="5E3A9898"/>
    <w:rsid w:val="5E5D967A"/>
    <w:rsid w:val="5E70435B"/>
    <w:rsid w:val="5E7FA58E"/>
    <w:rsid w:val="5E8A69F8"/>
    <w:rsid w:val="5E8EBD70"/>
    <w:rsid w:val="5E974690"/>
    <w:rsid w:val="5EA313A6"/>
    <w:rsid w:val="5EE6AE25"/>
    <w:rsid w:val="5EEF5F10"/>
    <w:rsid w:val="5EFB1745"/>
    <w:rsid w:val="5F0DEC45"/>
    <w:rsid w:val="5F17AE7E"/>
    <w:rsid w:val="5F1968FA"/>
    <w:rsid w:val="5F22B596"/>
    <w:rsid w:val="5F3467E9"/>
    <w:rsid w:val="5F372491"/>
    <w:rsid w:val="5F3D81D6"/>
    <w:rsid w:val="5F41C075"/>
    <w:rsid w:val="5F5A6C89"/>
    <w:rsid w:val="5FA63E0D"/>
    <w:rsid w:val="5FC68594"/>
    <w:rsid w:val="5FD510E2"/>
    <w:rsid w:val="5FDADDC6"/>
    <w:rsid w:val="5FECFB69"/>
    <w:rsid w:val="5FF01607"/>
    <w:rsid w:val="5FFC16EC"/>
    <w:rsid w:val="6000D2FF"/>
    <w:rsid w:val="601295B9"/>
    <w:rsid w:val="6016696A"/>
    <w:rsid w:val="602C0661"/>
    <w:rsid w:val="602D5D3B"/>
    <w:rsid w:val="6032FACF"/>
    <w:rsid w:val="6054A974"/>
    <w:rsid w:val="607BED37"/>
    <w:rsid w:val="60848319"/>
    <w:rsid w:val="609F6DC1"/>
    <w:rsid w:val="60ACD93D"/>
    <w:rsid w:val="60AD4E5E"/>
    <w:rsid w:val="60AF3BCD"/>
    <w:rsid w:val="60B80BDD"/>
    <w:rsid w:val="60C432C9"/>
    <w:rsid w:val="60C6CC4B"/>
    <w:rsid w:val="60FD7B1C"/>
    <w:rsid w:val="610BBF63"/>
    <w:rsid w:val="6128B2B1"/>
    <w:rsid w:val="61426498"/>
    <w:rsid w:val="61438037"/>
    <w:rsid w:val="6151A767"/>
    <w:rsid w:val="61544A3D"/>
    <w:rsid w:val="6156A19A"/>
    <w:rsid w:val="615C100D"/>
    <w:rsid w:val="61652BDE"/>
    <w:rsid w:val="6182EFE6"/>
    <w:rsid w:val="618C0FC1"/>
    <w:rsid w:val="619D4CCC"/>
    <w:rsid w:val="61B994E4"/>
    <w:rsid w:val="61BC68C1"/>
    <w:rsid w:val="61C5FBFD"/>
    <w:rsid w:val="61D40185"/>
    <w:rsid w:val="61DDE837"/>
    <w:rsid w:val="61E7D3B5"/>
    <w:rsid w:val="6201ED04"/>
    <w:rsid w:val="621555CC"/>
    <w:rsid w:val="6219872F"/>
    <w:rsid w:val="6232DD3C"/>
    <w:rsid w:val="6239A22C"/>
    <w:rsid w:val="623DEF07"/>
    <w:rsid w:val="62554BF6"/>
    <w:rsid w:val="62608C8A"/>
    <w:rsid w:val="627ACC92"/>
    <w:rsid w:val="628ABB61"/>
    <w:rsid w:val="628B4551"/>
    <w:rsid w:val="62A16127"/>
    <w:rsid w:val="62A5FD38"/>
    <w:rsid w:val="62A78A72"/>
    <w:rsid w:val="62AD23CD"/>
    <w:rsid w:val="62B1AC86"/>
    <w:rsid w:val="62C396D8"/>
    <w:rsid w:val="62C83D24"/>
    <w:rsid w:val="62D709E4"/>
    <w:rsid w:val="62D8DFC2"/>
    <w:rsid w:val="62DA4298"/>
    <w:rsid w:val="62ECB928"/>
    <w:rsid w:val="62F4F76B"/>
    <w:rsid w:val="63336ED6"/>
    <w:rsid w:val="635BBB11"/>
    <w:rsid w:val="63679CEB"/>
    <w:rsid w:val="638A619E"/>
    <w:rsid w:val="6398147C"/>
    <w:rsid w:val="63989B0B"/>
    <w:rsid w:val="63A2B308"/>
    <w:rsid w:val="63AA15C0"/>
    <w:rsid w:val="63ACC354"/>
    <w:rsid w:val="63AE829D"/>
    <w:rsid w:val="63C9255E"/>
    <w:rsid w:val="63D7AD25"/>
    <w:rsid w:val="63E47A26"/>
    <w:rsid w:val="63EE7B18"/>
    <w:rsid w:val="64084E82"/>
    <w:rsid w:val="641520BB"/>
    <w:rsid w:val="64169802"/>
    <w:rsid w:val="6420B177"/>
    <w:rsid w:val="642715B2"/>
    <w:rsid w:val="644024EA"/>
    <w:rsid w:val="64449507"/>
    <w:rsid w:val="645997C2"/>
    <w:rsid w:val="645EFC13"/>
    <w:rsid w:val="64802CD6"/>
    <w:rsid w:val="648C2593"/>
    <w:rsid w:val="64976564"/>
    <w:rsid w:val="649E350D"/>
    <w:rsid w:val="64A8743D"/>
    <w:rsid w:val="64AA76D0"/>
    <w:rsid w:val="64B3ADF5"/>
    <w:rsid w:val="64C50550"/>
    <w:rsid w:val="64D8BB1C"/>
    <w:rsid w:val="64F1172A"/>
    <w:rsid w:val="64F44328"/>
    <w:rsid w:val="651A5CCE"/>
    <w:rsid w:val="651AE5C7"/>
    <w:rsid w:val="652828C3"/>
    <w:rsid w:val="6553278C"/>
    <w:rsid w:val="6554BDE5"/>
    <w:rsid w:val="6554FCEC"/>
    <w:rsid w:val="6569EAAF"/>
    <w:rsid w:val="65906BA9"/>
    <w:rsid w:val="6593212A"/>
    <w:rsid w:val="65B18798"/>
    <w:rsid w:val="65B68CFF"/>
    <w:rsid w:val="65C15B35"/>
    <w:rsid w:val="65C1E25B"/>
    <w:rsid w:val="65EA6106"/>
    <w:rsid w:val="65ED3A63"/>
    <w:rsid w:val="65EE02E6"/>
    <w:rsid w:val="6607D129"/>
    <w:rsid w:val="6637C4D3"/>
    <w:rsid w:val="6640AFAD"/>
    <w:rsid w:val="66491423"/>
    <w:rsid w:val="6669A07D"/>
    <w:rsid w:val="667A3376"/>
    <w:rsid w:val="6686ED62"/>
    <w:rsid w:val="6699CF55"/>
    <w:rsid w:val="669D6A38"/>
    <w:rsid w:val="66A9D4BE"/>
    <w:rsid w:val="66AE8A10"/>
    <w:rsid w:val="66B47ED3"/>
    <w:rsid w:val="66C0B619"/>
    <w:rsid w:val="66C9AC6C"/>
    <w:rsid w:val="66D0A7DF"/>
    <w:rsid w:val="66D43A5F"/>
    <w:rsid w:val="66D9872B"/>
    <w:rsid w:val="66E1F316"/>
    <w:rsid w:val="66E7D882"/>
    <w:rsid w:val="66E99E56"/>
    <w:rsid w:val="66EE23A5"/>
    <w:rsid w:val="66F50B08"/>
    <w:rsid w:val="67267F95"/>
    <w:rsid w:val="6727E022"/>
    <w:rsid w:val="672BF3DF"/>
    <w:rsid w:val="67392E72"/>
    <w:rsid w:val="673DD623"/>
    <w:rsid w:val="6740767C"/>
    <w:rsid w:val="6752C7BA"/>
    <w:rsid w:val="675BC97E"/>
    <w:rsid w:val="676A81CC"/>
    <w:rsid w:val="67748B2B"/>
    <w:rsid w:val="678FADAA"/>
    <w:rsid w:val="67AA6E12"/>
    <w:rsid w:val="67B85663"/>
    <w:rsid w:val="67F1F346"/>
    <w:rsid w:val="680E63EB"/>
    <w:rsid w:val="68100A02"/>
    <w:rsid w:val="68139325"/>
    <w:rsid w:val="68196045"/>
    <w:rsid w:val="681BBB17"/>
    <w:rsid w:val="68269982"/>
    <w:rsid w:val="6834926B"/>
    <w:rsid w:val="683EC0B7"/>
    <w:rsid w:val="68432974"/>
    <w:rsid w:val="685101D7"/>
    <w:rsid w:val="687A4EB8"/>
    <w:rsid w:val="687CEBB5"/>
    <w:rsid w:val="688CE016"/>
    <w:rsid w:val="68AF27AC"/>
    <w:rsid w:val="68B18361"/>
    <w:rsid w:val="68B36815"/>
    <w:rsid w:val="68B998AC"/>
    <w:rsid w:val="68BCEB44"/>
    <w:rsid w:val="68C35FEC"/>
    <w:rsid w:val="68C69832"/>
    <w:rsid w:val="68CF65E6"/>
    <w:rsid w:val="68D542C7"/>
    <w:rsid w:val="68D5A60B"/>
    <w:rsid w:val="68E15E78"/>
    <w:rsid w:val="68E40DF2"/>
    <w:rsid w:val="68E5D97E"/>
    <w:rsid w:val="68F10E38"/>
    <w:rsid w:val="68F3680E"/>
    <w:rsid w:val="68F42CE6"/>
    <w:rsid w:val="69011BE5"/>
    <w:rsid w:val="6907D888"/>
    <w:rsid w:val="690C1F74"/>
    <w:rsid w:val="691186B1"/>
    <w:rsid w:val="6914F734"/>
    <w:rsid w:val="691EC449"/>
    <w:rsid w:val="6920D2B7"/>
    <w:rsid w:val="6936337D"/>
    <w:rsid w:val="693797F4"/>
    <w:rsid w:val="693D7A79"/>
    <w:rsid w:val="6961A7A5"/>
    <w:rsid w:val="69690A1A"/>
    <w:rsid w:val="697E4AE3"/>
    <w:rsid w:val="698836DA"/>
    <w:rsid w:val="6999335C"/>
    <w:rsid w:val="69A45942"/>
    <w:rsid w:val="69AF6386"/>
    <w:rsid w:val="69BD60EF"/>
    <w:rsid w:val="69C41F3E"/>
    <w:rsid w:val="69D5BFFA"/>
    <w:rsid w:val="69F75336"/>
    <w:rsid w:val="6A0B60BD"/>
    <w:rsid w:val="6A32BBA3"/>
    <w:rsid w:val="6A3FC2E2"/>
    <w:rsid w:val="6A486C1D"/>
    <w:rsid w:val="6A53DC2A"/>
    <w:rsid w:val="6A56DA1D"/>
    <w:rsid w:val="6A5EE93A"/>
    <w:rsid w:val="6A60B59E"/>
    <w:rsid w:val="6A7EC8D6"/>
    <w:rsid w:val="6A879DF2"/>
    <w:rsid w:val="6AA09935"/>
    <w:rsid w:val="6AAA71EE"/>
    <w:rsid w:val="6AB30B22"/>
    <w:rsid w:val="6ABB0B2A"/>
    <w:rsid w:val="6ACB8FD9"/>
    <w:rsid w:val="6AE36B26"/>
    <w:rsid w:val="6AE47AF6"/>
    <w:rsid w:val="6B0F398B"/>
    <w:rsid w:val="6B1ACEDE"/>
    <w:rsid w:val="6B202624"/>
    <w:rsid w:val="6B253C47"/>
    <w:rsid w:val="6B2B000D"/>
    <w:rsid w:val="6B2E428F"/>
    <w:rsid w:val="6B3A03D4"/>
    <w:rsid w:val="6B3EF3B0"/>
    <w:rsid w:val="6B43AAA8"/>
    <w:rsid w:val="6B4D38CD"/>
    <w:rsid w:val="6B4E8B9B"/>
    <w:rsid w:val="6B61685F"/>
    <w:rsid w:val="6B6548F9"/>
    <w:rsid w:val="6B7EACF1"/>
    <w:rsid w:val="6B8018BA"/>
    <w:rsid w:val="6B8ADAB4"/>
    <w:rsid w:val="6BA5F52A"/>
    <w:rsid w:val="6BAB5C2E"/>
    <w:rsid w:val="6BABC02D"/>
    <w:rsid w:val="6BAFC590"/>
    <w:rsid w:val="6BBDA115"/>
    <w:rsid w:val="6BCD1EB3"/>
    <w:rsid w:val="6BE5A185"/>
    <w:rsid w:val="6BF71D0A"/>
    <w:rsid w:val="6BFC1B90"/>
    <w:rsid w:val="6C101588"/>
    <w:rsid w:val="6C13F2A3"/>
    <w:rsid w:val="6C159AE9"/>
    <w:rsid w:val="6C16C4EE"/>
    <w:rsid w:val="6C18FF3A"/>
    <w:rsid w:val="6C1AF201"/>
    <w:rsid w:val="6C27D7E3"/>
    <w:rsid w:val="6C32C1B9"/>
    <w:rsid w:val="6C37CB2C"/>
    <w:rsid w:val="6C3DB556"/>
    <w:rsid w:val="6C496F80"/>
    <w:rsid w:val="6C66F97D"/>
    <w:rsid w:val="6C890532"/>
    <w:rsid w:val="6C970C26"/>
    <w:rsid w:val="6CA16EFF"/>
    <w:rsid w:val="6CB1FD0B"/>
    <w:rsid w:val="6CBD2B8C"/>
    <w:rsid w:val="6CBE72A0"/>
    <w:rsid w:val="6CD04F9A"/>
    <w:rsid w:val="6CD126B4"/>
    <w:rsid w:val="6CD236BF"/>
    <w:rsid w:val="6CE5EB5B"/>
    <w:rsid w:val="6CED8DEE"/>
    <w:rsid w:val="6CFD59CF"/>
    <w:rsid w:val="6CFDEB5C"/>
    <w:rsid w:val="6D00878E"/>
    <w:rsid w:val="6D03C209"/>
    <w:rsid w:val="6D0B2858"/>
    <w:rsid w:val="6D14B1A9"/>
    <w:rsid w:val="6D170803"/>
    <w:rsid w:val="6D3997AA"/>
    <w:rsid w:val="6D40573C"/>
    <w:rsid w:val="6D4C357A"/>
    <w:rsid w:val="6D55E665"/>
    <w:rsid w:val="6D5D67EF"/>
    <w:rsid w:val="6D5FA3BC"/>
    <w:rsid w:val="6D609415"/>
    <w:rsid w:val="6D6A22D4"/>
    <w:rsid w:val="6D81C2A9"/>
    <w:rsid w:val="6D871770"/>
    <w:rsid w:val="6DBA221E"/>
    <w:rsid w:val="6DC0691D"/>
    <w:rsid w:val="6DD0D555"/>
    <w:rsid w:val="6DDE5DA8"/>
    <w:rsid w:val="6DEEDCD3"/>
    <w:rsid w:val="6DF4C325"/>
    <w:rsid w:val="6DF98946"/>
    <w:rsid w:val="6E0C41BD"/>
    <w:rsid w:val="6E0C49C0"/>
    <w:rsid w:val="6E0D9117"/>
    <w:rsid w:val="6E198879"/>
    <w:rsid w:val="6E243A48"/>
    <w:rsid w:val="6E2AF0CD"/>
    <w:rsid w:val="6E421331"/>
    <w:rsid w:val="6E5581A4"/>
    <w:rsid w:val="6E60A799"/>
    <w:rsid w:val="6E62D294"/>
    <w:rsid w:val="6E69EFA9"/>
    <w:rsid w:val="6E7DF1EB"/>
    <w:rsid w:val="6E8964D4"/>
    <w:rsid w:val="6EB7990B"/>
    <w:rsid w:val="6EC3BE7C"/>
    <w:rsid w:val="6ECB058A"/>
    <w:rsid w:val="6EE14823"/>
    <w:rsid w:val="6EE68D38"/>
    <w:rsid w:val="6EEB1038"/>
    <w:rsid w:val="6EEE15E8"/>
    <w:rsid w:val="6EF0EA21"/>
    <w:rsid w:val="6F09D73E"/>
    <w:rsid w:val="6F0C067F"/>
    <w:rsid w:val="6F0D9130"/>
    <w:rsid w:val="6F1ABAC9"/>
    <w:rsid w:val="6F26D54D"/>
    <w:rsid w:val="6F3C9EC4"/>
    <w:rsid w:val="6F3CF635"/>
    <w:rsid w:val="6F42B66F"/>
    <w:rsid w:val="6F5104A3"/>
    <w:rsid w:val="6F69C859"/>
    <w:rsid w:val="6F741982"/>
    <w:rsid w:val="6F79B273"/>
    <w:rsid w:val="6F7FA91C"/>
    <w:rsid w:val="6F813E6B"/>
    <w:rsid w:val="6F88AB52"/>
    <w:rsid w:val="6F9814F2"/>
    <w:rsid w:val="6F9AF0DC"/>
    <w:rsid w:val="6FB02A34"/>
    <w:rsid w:val="6FBF65DA"/>
    <w:rsid w:val="6FD68AB4"/>
    <w:rsid w:val="6FE2AEF3"/>
    <w:rsid w:val="700161CC"/>
    <w:rsid w:val="7009A119"/>
    <w:rsid w:val="701B8D70"/>
    <w:rsid w:val="70251916"/>
    <w:rsid w:val="702CADEB"/>
    <w:rsid w:val="70345BA6"/>
    <w:rsid w:val="703E4212"/>
    <w:rsid w:val="7050D1D5"/>
    <w:rsid w:val="7057A156"/>
    <w:rsid w:val="70663E45"/>
    <w:rsid w:val="70726C17"/>
    <w:rsid w:val="707CA418"/>
    <w:rsid w:val="708E44D0"/>
    <w:rsid w:val="70984D5F"/>
    <w:rsid w:val="7099F43A"/>
    <w:rsid w:val="70A7919C"/>
    <w:rsid w:val="70BA2501"/>
    <w:rsid w:val="70BE97C2"/>
    <w:rsid w:val="70D01052"/>
    <w:rsid w:val="70D697ED"/>
    <w:rsid w:val="70D8FA74"/>
    <w:rsid w:val="70DBF1E1"/>
    <w:rsid w:val="70DE1638"/>
    <w:rsid w:val="70DE38F7"/>
    <w:rsid w:val="70E6C902"/>
    <w:rsid w:val="70F931AF"/>
    <w:rsid w:val="70FD3766"/>
    <w:rsid w:val="710D49B1"/>
    <w:rsid w:val="712D1ECC"/>
    <w:rsid w:val="7167B88A"/>
    <w:rsid w:val="71723C7D"/>
    <w:rsid w:val="71741446"/>
    <w:rsid w:val="71959825"/>
    <w:rsid w:val="719A6069"/>
    <w:rsid w:val="71A5BD1E"/>
    <w:rsid w:val="71C10596"/>
    <w:rsid w:val="71C7FA1F"/>
    <w:rsid w:val="71CD217C"/>
    <w:rsid w:val="71E691B6"/>
    <w:rsid w:val="71E850DA"/>
    <w:rsid w:val="71EA9B92"/>
    <w:rsid w:val="71FAD4DE"/>
    <w:rsid w:val="71FDFEA4"/>
    <w:rsid w:val="7211D74E"/>
    <w:rsid w:val="721CA78B"/>
    <w:rsid w:val="721E2E68"/>
    <w:rsid w:val="723EFEA7"/>
    <w:rsid w:val="726618BA"/>
    <w:rsid w:val="72757453"/>
    <w:rsid w:val="7288A18B"/>
    <w:rsid w:val="728DE5F3"/>
    <w:rsid w:val="729E593E"/>
    <w:rsid w:val="72ADEA0C"/>
    <w:rsid w:val="72AE87D0"/>
    <w:rsid w:val="72BC22E9"/>
    <w:rsid w:val="72CC6018"/>
    <w:rsid w:val="72CDFF52"/>
    <w:rsid w:val="72E8C787"/>
    <w:rsid w:val="731B07C0"/>
    <w:rsid w:val="733C15BB"/>
    <w:rsid w:val="734A01BA"/>
    <w:rsid w:val="73598A96"/>
    <w:rsid w:val="738B927E"/>
    <w:rsid w:val="73957510"/>
    <w:rsid w:val="7398CA8D"/>
    <w:rsid w:val="739F557E"/>
    <w:rsid w:val="73A9434F"/>
    <w:rsid w:val="73B25C97"/>
    <w:rsid w:val="73B507FB"/>
    <w:rsid w:val="73B6548F"/>
    <w:rsid w:val="73C56FC9"/>
    <w:rsid w:val="73C8F7DC"/>
    <w:rsid w:val="73CB65F1"/>
    <w:rsid w:val="73D33612"/>
    <w:rsid w:val="73E827D6"/>
    <w:rsid w:val="74019193"/>
    <w:rsid w:val="7415D9B9"/>
    <w:rsid w:val="741E0B23"/>
    <w:rsid w:val="741F226D"/>
    <w:rsid w:val="74220478"/>
    <w:rsid w:val="743E1FA1"/>
    <w:rsid w:val="74477B7B"/>
    <w:rsid w:val="74684DBD"/>
    <w:rsid w:val="746C345B"/>
    <w:rsid w:val="746C35FA"/>
    <w:rsid w:val="747A86E7"/>
    <w:rsid w:val="7487B650"/>
    <w:rsid w:val="749E6B22"/>
    <w:rsid w:val="74A008E6"/>
    <w:rsid w:val="74A3548F"/>
    <w:rsid w:val="74CFEB45"/>
    <w:rsid w:val="74DE836E"/>
    <w:rsid w:val="74DEFD0A"/>
    <w:rsid w:val="74E784B7"/>
    <w:rsid w:val="74EF076B"/>
    <w:rsid w:val="74F24DCA"/>
    <w:rsid w:val="74F47F89"/>
    <w:rsid w:val="753049C4"/>
    <w:rsid w:val="753463E4"/>
    <w:rsid w:val="75509BE2"/>
    <w:rsid w:val="75650073"/>
    <w:rsid w:val="75678709"/>
    <w:rsid w:val="75691A31"/>
    <w:rsid w:val="756AEF0A"/>
    <w:rsid w:val="7570FA43"/>
    <w:rsid w:val="75AE40DA"/>
    <w:rsid w:val="75B1AA1A"/>
    <w:rsid w:val="75B26C0D"/>
    <w:rsid w:val="75C6C2CA"/>
    <w:rsid w:val="75DFF854"/>
    <w:rsid w:val="75F1D978"/>
    <w:rsid w:val="760C24BF"/>
    <w:rsid w:val="7643A062"/>
    <w:rsid w:val="76619AA6"/>
    <w:rsid w:val="766BD9ED"/>
    <w:rsid w:val="766BE0AB"/>
    <w:rsid w:val="7681E40C"/>
    <w:rsid w:val="76926991"/>
    <w:rsid w:val="76ADD127"/>
    <w:rsid w:val="76B1AE94"/>
    <w:rsid w:val="76C0BB67"/>
    <w:rsid w:val="76C31D67"/>
    <w:rsid w:val="76C34722"/>
    <w:rsid w:val="76E55DBF"/>
    <w:rsid w:val="76EC5F77"/>
    <w:rsid w:val="76ED729F"/>
    <w:rsid w:val="77281B60"/>
    <w:rsid w:val="773277C0"/>
    <w:rsid w:val="77413E4D"/>
    <w:rsid w:val="77442D2A"/>
    <w:rsid w:val="774AAA91"/>
    <w:rsid w:val="775137B6"/>
    <w:rsid w:val="7762F624"/>
    <w:rsid w:val="776BC0A0"/>
    <w:rsid w:val="77797CF0"/>
    <w:rsid w:val="77803C1D"/>
    <w:rsid w:val="77861FCE"/>
    <w:rsid w:val="779F8767"/>
    <w:rsid w:val="77A3A81E"/>
    <w:rsid w:val="77A3D6BC"/>
    <w:rsid w:val="77BB1E51"/>
    <w:rsid w:val="77C04B70"/>
    <w:rsid w:val="77CC6985"/>
    <w:rsid w:val="77E6667D"/>
    <w:rsid w:val="7807AA4E"/>
    <w:rsid w:val="780AC478"/>
    <w:rsid w:val="780DE3CB"/>
    <w:rsid w:val="782AA3A4"/>
    <w:rsid w:val="7830F3DF"/>
    <w:rsid w:val="78318DD8"/>
    <w:rsid w:val="78326445"/>
    <w:rsid w:val="785BF45F"/>
    <w:rsid w:val="78624342"/>
    <w:rsid w:val="786398FA"/>
    <w:rsid w:val="7873192E"/>
    <w:rsid w:val="7880BD80"/>
    <w:rsid w:val="788B8075"/>
    <w:rsid w:val="78A04DCE"/>
    <w:rsid w:val="78A2CEC7"/>
    <w:rsid w:val="78AEA5AB"/>
    <w:rsid w:val="78D3CF8C"/>
    <w:rsid w:val="78EA958A"/>
    <w:rsid w:val="78F1EB29"/>
    <w:rsid w:val="78FF47EC"/>
    <w:rsid w:val="79123E36"/>
    <w:rsid w:val="791CC0F8"/>
    <w:rsid w:val="791CE82E"/>
    <w:rsid w:val="7923EF43"/>
    <w:rsid w:val="79259523"/>
    <w:rsid w:val="792C461D"/>
    <w:rsid w:val="7936A9F4"/>
    <w:rsid w:val="7946A027"/>
    <w:rsid w:val="7946B59C"/>
    <w:rsid w:val="796678F6"/>
    <w:rsid w:val="7979F0ED"/>
    <w:rsid w:val="7985AE39"/>
    <w:rsid w:val="7987969C"/>
    <w:rsid w:val="798A4EDA"/>
    <w:rsid w:val="798C8378"/>
    <w:rsid w:val="799929F0"/>
    <w:rsid w:val="79A37AAF"/>
    <w:rsid w:val="79A535C4"/>
    <w:rsid w:val="79B21EAD"/>
    <w:rsid w:val="79C7264B"/>
    <w:rsid w:val="79E6CD58"/>
    <w:rsid w:val="79E7AE13"/>
    <w:rsid w:val="79EAA4FF"/>
    <w:rsid w:val="79EB7DDF"/>
    <w:rsid w:val="79F080C4"/>
    <w:rsid w:val="7A0F1915"/>
    <w:rsid w:val="7A145781"/>
    <w:rsid w:val="7A1C720E"/>
    <w:rsid w:val="7A45302F"/>
    <w:rsid w:val="7A48D08E"/>
    <w:rsid w:val="7A6737A4"/>
    <w:rsid w:val="7A9CDD4F"/>
    <w:rsid w:val="7AEAAC42"/>
    <w:rsid w:val="7AEDF1F3"/>
    <w:rsid w:val="7B106AC3"/>
    <w:rsid w:val="7B1AF0E2"/>
    <w:rsid w:val="7B2D2B93"/>
    <w:rsid w:val="7B53A2A8"/>
    <w:rsid w:val="7B65191D"/>
    <w:rsid w:val="7B94A7DB"/>
    <w:rsid w:val="7BB5670A"/>
    <w:rsid w:val="7BC0CCCD"/>
    <w:rsid w:val="7BCBD0A4"/>
    <w:rsid w:val="7BD8BCC0"/>
    <w:rsid w:val="7BE267F6"/>
    <w:rsid w:val="7C085627"/>
    <w:rsid w:val="7C0CE83F"/>
    <w:rsid w:val="7C2F6CD4"/>
    <w:rsid w:val="7C3E54CD"/>
    <w:rsid w:val="7C44355F"/>
    <w:rsid w:val="7C447852"/>
    <w:rsid w:val="7C614A2C"/>
    <w:rsid w:val="7C6C9DFA"/>
    <w:rsid w:val="7C6DB53F"/>
    <w:rsid w:val="7C71F3F0"/>
    <w:rsid w:val="7C7BA653"/>
    <w:rsid w:val="7C82A24F"/>
    <w:rsid w:val="7C8B8223"/>
    <w:rsid w:val="7C997E97"/>
    <w:rsid w:val="7C9F5B9D"/>
    <w:rsid w:val="7CB15E53"/>
    <w:rsid w:val="7CB32770"/>
    <w:rsid w:val="7CE72E22"/>
    <w:rsid w:val="7CFFEC77"/>
    <w:rsid w:val="7D0EE0CF"/>
    <w:rsid w:val="7D14C001"/>
    <w:rsid w:val="7D251058"/>
    <w:rsid w:val="7D3B95CB"/>
    <w:rsid w:val="7D3DC2F1"/>
    <w:rsid w:val="7D7BA773"/>
    <w:rsid w:val="7D956DE8"/>
    <w:rsid w:val="7D984DFA"/>
    <w:rsid w:val="7DA814B2"/>
    <w:rsid w:val="7DABB16F"/>
    <w:rsid w:val="7DBCBBFF"/>
    <w:rsid w:val="7DBEB8E8"/>
    <w:rsid w:val="7E0EB34B"/>
    <w:rsid w:val="7E1A7E52"/>
    <w:rsid w:val="7E233755"/>
    <w:rsid w:val="7E2718D3"/>
    <w:rsid w:val="7E2AA618"/>
    <w:rsid w:val="7E2EC8F6"/>
    <w:rsid w:val="7E402A48"/>
    <w:rsid w:val="7E413AD6"/>
    <w:rsid w:val="7E58C6FC"/>
    <w:rsid w:val="7E6861B7"/>
    <w:rsid w:val="7E73CD27"/>
    <w:rsid w:val="7E83D789"/>
    <w:rsid w:val="7E8EBD62"/>
    <w:rsid w:val="7E9D6BA0"/>
    <w:rsid w:val="7EBD10F6"/>
    <w:rsid w:val="7ECBA7D4"/>
    <w:rsid w:val="7EDE1BFB"/>
    <w:rsid w:val="7EE2B107"/>
    <w:rsid w:val="7EF4503A"/>
    <w:rsid w:val="7EF566CD"/>
    <w:rsid w:val="7EF76DE3"/>
    <w:rsid w:val="7F2F3FCA"/>
    <w:rsid w:val="7F3C1649"/>
    <w:rsid w:val="7F4B5C65"/>
    <w:rsid w:val="7F5FD98D"/>
    <w:rsid w:val="7F6D3DDC"/>
    <w:rsid w:val="7F7C1914"/>
    <w:rsid w:val="7F81C7C9"/>
    <w:rsid w:val="7F873E92"/>
    <w:rsid w:val="7F8C2DA4"/>
    <w:rsid w:val="7F8E50BF"/>
    <w:rsid w:val="7F96F194"/>
    <w:rsid w:val="7FB3FE8C"/>
    <w:rsid w:val="7FBCB98E"/>
    <w:rsid w:val="7FBF6280"/>
    <w:rsid w:val="7FC814C7"/>
    <w:rsid w:val="7FE632C4"/>
    <w:rsid w:val="7FEAC832"/>
    <w:rsid w:val="7FEEF1BF"/>
    <w:rsid w:val="7FF4EAFC"/>
    <w:rsid w:val="7FFED6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F026B"/>
  <w15:chartTrackingRefBased/>
  <w15:docId w15:val="{C9D50FC9-59C1-4AB6-BF9B-04F84370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BF0"/>
    <w:pPr>
      <w:spacing w:after="0" w:line="240" w:lineRule="auto"/>
    </w:pPr>
  </w:style>
  <w:style w:type="paragraph" w:styleId="Heading1">
    <w:name w:val="heading 1"/>
    <w:basedOn w:val="Normal"/>
    <w:next w:val="Normal"/>
    <w:link w:val="Heading1Char"/>
    <w:uiPriority w:val="9"/>
    <w:qFormat/>
    <w:rsid w:val="003747A4"/>
    <w:pPr>
      <w:keepNext/>
      <w:keepLines/>
      <w:shd w:val="clear" w:color="auto" w:fill="F5F1EB"/>
      <w:spacing w:before="240" w:after="240"/>
      <w:outlineLvl w:val="0"/>
    </w:pPr>
    <w:rPr>
      <w:rFonts w:asciiTheme="majorHAnsi" w:eastAsiaTheme="majorEastAsia" w:hAnsiTheme="majorHAnsi" w:cstheme="majorBidi"/>
      <w:color w:val="6E9699"/>
      <w:sz w:val="32"/>
      <w:szCs w:val="32"/>
    </w:rPr>
  </w:style>
  <w:style w:type="paragraph" w:styleId="Heading2">
    <w:name w:val="heading 2"/>
    <w:basedOn w:val="Normal"/>
    <w:next w:val="Normal"/>
    <w:link w:val="Heading2Char"/>
    <w:uiPriority w:val="9"/>
    <w:unhideWhenUsed/>
    <w:qFormat/>
    <w:rsid w:val="003747A4"/>
    <w:pPr>
      <w:keepNext/>
      <w:keepLines/>
      <w:spacing w:after="120"/>
      <w:outlineLvl w:val="1"/>
    </w:pPr>
    <w:rPr>
      <w:rFonts w:asciiTheme="majorHAnsi" w:eastAsiaTheme="majorEastAsia" w:hAnsiTheme="majorHAnsi" w:cstheme="majorBidi"/>
      <w:b/>
      <w:color w:val="6E9699"/>
      <w:sz w:val="26"/>
      <w:szCs w:val="26"/>
    </w:rPr>
  </w:style>
  <w:style w:type="paragraph" w:styleId="Heading3">
    <w:name w:val="heading 3"/>
    <w:basedOn w:val="Normal"/>
    <w:next w:val="Normal"/>
    <w:link w:val="Heading3Char"/>
    <w:uiPriority w:val="9"/>
    <w:unhideWhenUsed/>
    <w:qFormat/>
    <w:rsid w:val="007E5BF0"/>
    <w:pPr>
      <w:keepNext/>
      <w:keepLines/>
      <w:outlineLvl w:val="2"/>
    </w:pPr>
    <w:rPr>
      <w:rFonts w:asciiTheme="majorHAnsi" w:eastAsiaTheme="majorEastAsia" w:hAnsiTheme="majorHAnsi" w:cstheme="majorBidi"/>
      <w:b/>
      <w:i/>
      <w:color w:val="6E9699"/>
      <w:sz w:val="24"/>
      <w:szCs w:val="24"/>
    </w:rPr>
  </w:style>
  <w:style w:type="paragraph" w:styleId="Heading4">
    <w:name w:val="heading 4"/>
    <w:basedOn w:val="Normal"/>
    <w:next w:val="Normal"/>
    <w:link w:val="Heading4Char"/>
    <w:uiPriority w:val="9"/>
    <w:unhideWhenUsed/>
    <w:qFormat/>
    <w:rsid w:val="007E5BF0"/>
    <w:pPr>
      <w:keepNext/>
      <w:keepLines/>
      <w:spacing w:before="40"/>
      <w:outlineLvl w:val="3"/>
    </w:pPr>
    <w:rPr>
      <w:rFonts w:asciiTheme="majorHAnsi" w:eastAsiaTheme="majorEastAsia" w:hAnsiTheme="majorHAnsi" w:cstheme="majorBidi"/>
      <w:iCs/>
      <w:color w:val="6E9699"/>
      <w:u w:val="single"/>
    </w:rPr>
  </w:style>
  <w:style w:type="paragraph" w:styleId="Heading5">
    <w:name w:val="heading 5"/>
    <w:basedOn w:val="Normal"/>
    <w:next w:val="Normal"/>
    <w:link w:val="Heading5Char"/>
    <w:uiPriority w:val="9"/>
    <w:unhideWhenUsed/>
    <w:qFormat/>
    <w:rsid w:val="007E5BF0"/>
    <w:pPr>
      <w:keepNext/>
      <w:keepLines/>
      <w:spacing w:before="40"/>
      <w:outlineLvl w:val="4"/>
    </w:pPr>
    <w:rPr>
      <w:rFonts w:asciiTheme="majorHAnsi" w:eastAsiaTheme="majorEastAsia" w:hAnsiTheme="majorHAnsi" w:cstheme="majorBidi"/>
      <w:color w:val="6E9699"/>
    </w:rPr>
  </w:style>
  <w:style w:type="paragraph" w:styleId="Heading6">
    <w:name w:val="heading 6"/>
    <w:basedOn w:val="Normal"/>
    <w:next w:val="Normal"/>
    <w:link w:val="Heading6Char"/>
    <w:uiPriority w:val="9"/>
    <w:unhideWhenUsed/>
    <w:qFormat/>
    <w:rsid w:val="007E5BF0"/>
    <w:pPr>
      <w:keepNext/>
      <w:keepLines/>
      <w:spacing w:before="40"/>
      <w:outlineLvl w:val="5"/>
    </w:pPr>
    <w:rPr>
      <w:rFonts w:asciiTheme="majorHAnsi" w:eastAsiaTheme="majorEastAsia" w:hAnsiTheme="majorHAnsi" w:cstheme="majorBidi"/>
      <w:i/>
      <w:color w:val="6E9699"/>
    </w:rPr>
  </w:style>
  <w:style w:type="paragraph" w:styleId="Heading7">
    <w:name w:val="heading 7"/>
    <w:basedOn w:val="Normal"/>
    <w:next w:val="Normal"/>
    <w:link w:val="Heading7Char"/>
    <w:uiPriority w:val="9"/>
    <w:unhideWhenUsed/>
    <w:qFormat/>
    <w:rsid w:val="007E5BF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uiPriority w:val="9"/>
    <w:semiHidden/>
    <w:unhideWhenUsed/>
    <w:qFormat/>
    <w:rsid w:val="00FA5C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7A4"/>
    <w:rPr>
      <w:rFonts w:asciiTheme="majorHAnsi" w:eastAsiaTheme="majorEastAsia" w:hAnsiTheme="majorHAnsi" w:cstheme="majorBidi"/>
      <w:color w:val="6E9699"/>
      <w:sz w:val="32"/>
      <w:szCs w:val="32"/>
      <w:shd w:val="clear" w:color="auto" w:fill="F5F1EB"/>
    </w:rPr>
  </w:style>
  <w:style w:type="character" w:customStyle="1" w:styleId="Heading2Char">
    <w:name w:val="Heading 2 Char"/>
    <w:basedOn w:val="DefaultParagraphFont"/>
    <w:link w:val="Heading2"/>
    <w:uiPriority w:val="9"/>
    <w:rsid w:val="003747A4"/>
    <w:rPr>
      <w:rFonts w:asciiTheme="majorHAnsi" w:eastAsiaTheme="majorEastAsia" w:hAnsiTheme="majorHAnsi" w:cstheme="majorBidi"/>
      <w:b/>
      <w:color w:val="6E9699"/>
      <w:sz w:val="26"/>
      <w:szCs w:val="26"/>
    </w:rPr>
  </w:style>
  <w:style w:type="character" w:customStyle="1" w:styleId="Heading3Char">
    <w:name w:val="Heading 3 Char"/>
    <w:basedOn w:val="DefaultParagraphFont"/>
    <w:link w:val="Heading3"/>
    <w:uiPriority w:val="9"/>
    <w:rsid w:val="007E5BF0"/>
    <w:rPr>
      <w:rFonts w:asciiTheme="majorHAnsi" w:eastAsiaTheme="majorEastAsia" w:hAnsiTheme="majorHAnsi" w:cstheme="majorBidi"/>
      <w:b/>
      <w:i/>
      <w:color w:val="6E9699"/>
      <w:sz w:val="24"/>
      <w:szCs w:val="24"/>
    </w:rPr>
  </w:style>
  <w:style w:type="character" w:customStyle="1" w:styleId="Heading4Char">
    <w:name w:val="Heading 4 Char"/>
    <w:basedOn w:val="DefaultParagraphFont"/>
    <w:link w:val="Heading4"/>
    <w:uiPriority w:val="9"/>
    <w:rsid w:val="007E5BF0"/>
    <w:rPr>
      <w:rFonts w:asciiTheme="majorHAnsi" w:eastAsiaTheme="majorEastAsia" w:hAnsiTheme="majorHAnsi" w:cstheme="majorBidi"/>
      <w:iCs/>
      <w:color w:val="6E9699"/>
      <w:u w:val="single"/>
    </w:rPr>
  </w:style>
  <w:style w:type="character" w:customStyle="1" w:styleId="Heading5Char">
    <w:name w:val="Heading 5 Char"/>
    <w:basedOn w:val="DefaultParagraphFont"/>
    <w:link w:val="Heading5"/>
    <w:uiPriority w:val="9"/>
    <w:rsid w:val="007E5BF0"/>
    <w:rPr>
      <w:rFonts w:asciiTheme="majorHAnsi" w:eastAsiaTheme="majorEastAsia" w:hAnsiTheme="majorHAnsi" w:cstheme="majorBidi"/>
      <w:color w:val="6E9699"/>
    </w:rPr>
  </w:style>
  <w:style w:type="character" w:customStyle="1" w:styleId="Heading6Char">
    <w:name w:val="Heading 6 Char"/>
    <w:basedOn w:val="DefaultParagraphFont"/>
    <w:link w:val="Heading6"/>
    <w:uiPriority w:val="9"/>
    <w:rsid w:val="007E5BF0"/>
    <w:rPr>
      <w:rFonts w:asciiTheme="majorHAnsi" w:eastAsiaTheme="majorEastAsia" w:hAnsiTheme="majorHAnsi" w:cstheme="majorBidi"/>
      <w:i/>
      <w:color w:val="6E9699"/>
    </w:rPr>
  </w:style>
  <w:style w:type="character" w:customStyle="1" w:styleId="Heading7Char">
    <w:name w:val="Heading 7 Char"/>
    <w:basedOn w:val="DefaultParagraphFont"/>
    <w:link w:val="Heading7"/>
    <w:uiPriority w:val="9"/>
    <w:rsid w:val="007E5BF0"/>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7E5BF0"/>
    <w:pPr>
      <w:ind w:left="720"/>
      <w:contextualSpacing/>
    </w:pPr>
  </w:style>
  <w:style w:type="character" w:styleId="Hyperlink">
    <w:name w:val="Hyperlink"/>
    <w:basedOn w:val="DefaultParagraphFont"/>
    <w:uiPriority w:val="99"/>
    <w:unhideWhenUsed/>
    <w:rsid w:val="007E5BF0"/>
    <w:rPr>
      <w:color w:val="0563C1" w:themeColor="hyperlink"/>
      <w:u w:val="single"/>
    </w:rPr>
  </w:style>
  <w:style w:type="character" w:customStyle="1" w:styleId="UnresolvedMention1">
    <w:name w:val="Unresolved Mention1"/>
    <w:basedOn w:val="DefaultParagraphFont"/>
    <w:uiPriority w:val="99"/>
    <w:semiHidden/>
    <w:unhideWhenUsed/>
    <w:rsid w:val="007E5BF0"/>
    <w:rPr>
      <w:color w:val="605E5C"/>
      <w:shd w:val="clear" w:color="auto" w:fill="E1DFDD"/>
    </w:rPr>
  </w:style>
  <w:style w:type="character" w:styleId="CommentReference">
    <w:name w:val="annotation reference"/>
    <w:basedOn w:val="DefaultParagraphFont"/>
    <w:uiPriority w:val="99"/>
    <w:semiHidden/>
    <w:unhideWhenUsed/>
    <w:rsid w:val="007E5BF0"/>
    <w:rPr>
      <w:sz w:val="16"/>
      <w:szCs w:val="16"/>
    </w:rPr>
  </w:style>
  <w:style w:type="paragraph" w:styleId="CommentText">
    <w:name w:val="annotation text"/>
    <w:basedOn w:val="Normal"/>
    <w:link w:val="CommentTextChar"/>
    <w:unhideWhenUsed/>
    <w:rsid w:val="007E5BF0"/>
    <w:rPr>
      <w:sz w:val="20"/>
      <w:szCs w:val="20"/>
    </w:rPr>
  </w:style>
  <w:style w:type="character" w:customStyle="1" w:styleId="CommentTextChar">
    <w:name w:val="Comment Text Char"/>
    <w:basedOn w:val="DefaultParagraphFont"/>
    <w:link w:val="CommentText"/>
    <w:rsid w:val="007E5BF0"/>
    <w:rPr>
      <w:sz w:val="20"/>
      <w:szCs w:val="20"/>
    </w:rPr>
  </w:style>
  <w:style w:type="paragraph" w:styleId="CommentSubject">
    <w:name w:val="annotation subject"/>
    <w:basedOn w:val="CommentText"/>
    <w:next w:val="CommentText"/>
    <w:link w:val="CommentSubjectChar"/>
    <w:uiPriority w:val="99"/>
    <w:semiHidden/>
    <w:unhideWhenUsed/>
    <w:rsid w:val="007E5BF0"/>
    <w:rPr>
      <w:b/>
      <w:bCs/>
    </w:rPr>
  </w:style>
  <w:style w:type="character" w:customStyle="1" w:styleId="CommentSubjectChar">
    <w:name w:val="Comment Subject Char"/>
    <w:basedOn w:val="CommentTextChar"/>
    <w:link w:val="CommentSubject"/>
    <w:uiPriority w:val="99"/>
    <w:semiHidden/>
    <w:rsid w:val="007E5BF0"/>
    <w:rPr>
      <w:b/>
      <w:bCs/>
      <w:sz w:val="20"/>
      <w:szCs w:val="20"/>
    </w:rPr>
  </w:style>
  <w:style w:type="paragraph" w:styleId="BalloonText">
    <w:name w:val="Balloon Text"/>
    <w:basedOn w:val="Normal"/>
    <w:link w:val="BalloonTextChar"/>
    <w:uiPriority w:val="99"/>
    <w:semiHidden/>
    <w:unhideWhenUsed/>
    <w:rsid w:val="007E5B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BF0"/>
    <w:rPr>
      <w:rFonts w:ascii="Segoe UI" w:hAnsi="Segoe UI" w:cs="Segoe UI"/>
      <w:sz w:val="18"/>
      <w:szCs w:val="18"/>
    </w:rPr>
  </w:style>
  <w:style w:type="paragraph" w:styleId="NormalWeb">
    <w:name w:val="Normal (Web)"/>
    <w:basedOn w:val="Normal"/>
    <w:uiPriority w:val="99"/>
    <w:unhideWhenUsed/>
    <w:rsid w:val="007E5BF0"/>
    <w:pPr>
      <w:spacing w:after="150"/>
    </w:pPr>
    <w:rPr>
      <w:rFonts w:ascii="Times New Roman" w:eastAsia="Times New Roman" w:hAnsi="Times New Roman" w:cs="Times New Roman"/>
      <w:sz w:val="24"/>
      <w:szCs w:val="24"/>
    </w:rPr>
  </w:style>
  <w:style w:type="character" w:styleId="Emphasis">
    <w:name w:val="Emphasis"/>
    <w:basedOn w:val="DefaultParagraphFont"/>
    <w:uiPriority w:val="20"/>
    <w:qFormat/>
    <w:rsid w:val="007E5BF0"/>
    <w:rPr>
      <w:i/>
      <w:iCs/>
    </w:rPr>
  </w:style>
  <w:style w:type="table" w:styleId="TableGrid">
    <w:name w:val="Table Grid"/>
    <w:basedOn w:val="TableNormal"/>
    <w:uiPriority w:val="39"/>
    <w:rsid w:val="007E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2,tagline,h"/>
    <w:basedOn w:val="Normal"/>
    <w:link w:val="HeaderChar"/>
    <w:uiPriority w:val="99"/>
    <w:unhideWhenUsed/>
    <w:rsid w:val="007E5BF0"/>
    <w:pPr>
      <w:widowControl w:val="0"/>
      <w:tabs>
        <w:tab w:val="center" w:pos="4680"/>
        <w:tab w:val="right" w:pos="9360"/>
      </w:tabs>
    </w:pPr>
    <w:rPr>
      <w:rFonts w:ascii="Calibri" w:eastAsia="Calibri" w:hAnsi="Calibri" w:cs="Calibri"/>
    </w:rPr>
  </w:style>
  <w:style w:type="character" w:customStyle="1" w:styleId="HeaderChar">
    <w:name w:val="Header Char"/>
    <w:aliases w:val="Header 2 Char,tagline Char,h Char"/>
    <w:basedOn w:val="DefaultParagraphFont"/>
    <w:link w:val="Header"/>
    <w:uiPriority w:val="99"/>
    <w:rsid w:val="007E5BF0"/>
    <w:rPr>
      <w:rFonts w:ascii="Calibri" w:eastAsia="Calibri" w:hAnsi="Calibri" w:cs="Calibri"/>
    </w:rPr>
  </w:style>
  <w:style w:type="character" w:styleId="FollowedHyperlink">
    <w:name w:val="FollowedHyperlink"/>
    <w:basedOn w:val="DefaultParagraphFont"/>
    <w:uiPriority w:val="99"/>
    <w:semiHidden/>
    <w:unhideWhenUsed/>
    <w:rsid w:val="007E5BF0"/>
    <w:rPr>
      <w:color w:val="954F72" w:themeColor="followedHyperlink"/>
      <w:u w:val="single"/>
    </w:rPr>
  </w:style>
  <w:style w:type="paragraph" w:styleId="Footer">
    <w:name w:val="footer"/>
    <w:basedOn w:val="Normal"/>
    <w:link w:val="FooterChar"/>
    <w:uiPriority w:val="99"/>
    <w:unhideWhenUsed/>
    <w:rsid w:val="007E5BF0"/>
    <w:pPr>
      <w:tabs>
        <w:tab w:val="center" w:pos="4680"/>
        <w:tab w:val="right" w:pos="9360"/>
      </w:tabs>
    </w:pPr>
  </w:style>
  <w:style w:type="character" w:customStyle="1" w:styleId="FooterChar">
    <w:name w:val="Footer Char"/>
    <w:basedOn w:val="DefaultParagraphFont"/>
    <w:link w:val="Footer"/>
    <w:uiPriority w:val="99"/>
    <w:rsid w:val="007E5BF0"/>
  </w:style>
  <w:style w:type="paragraph" w:styleId="Quote">
    <w:name w:val="Quote"/>
    <w:basedOn w:val="Normal"/>
    <w:next w:val="Normal"/>
    <w:link w:val="QuoteChar"/>
    <w:uiPriority w:val="29"/>
    <w:qFormat/>
    <w:rsid w:val="007E5BF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E5BF0"/>
    <w:rPr>
      <w:i/>
      <w:iCs/>
      <w:color w:val="404040" w:themeColor="text1" w:themeTint="BF"/>
    </w:rPr>
  </w:style>
  <w:style w:type="character" w:styleId="Strong">
    <w:name w:val="Strong"/>
    <w:basedOn w:val="DefaultParagraphFont"/>
    <w:uiPriority w:val="22"/>
    <w:qFormat/>
    <w:rsid w:val="007E5BF0"/>
    <w:rPr>
      <w:b/>
      <w:bCs/>
    </w:rPr>
  </w:style>
  <w:style w:type="character" w:styleId="IntenseEmphasis">
    <w:name w:val="Intense Emphasis"/>
    <w:basedOn w:val="DefaultParagraphFont"/>
    <w:uiPriority w:val="21"/>
    <w:qFormat/>
    <w:rsid w:val="007E5BF0"/>
    <w:rPr>
      <w:i/>
      <w:iCs/>
      <w:color w:val="4472C4" w:themeColor="accent1"/>
    </w:rPr>
  </w:style>
  <w:style w:type="paragraph" w:styleId="Title">
    <w:name w:val="Title"/>
    <w:basedOn w:val="Normal"/>
    <w:next w:val="Normal"/>
    <w:link w:val="TitleChar"/>
    <w:uiPriority w:val="10"/>
    <w:qFormat/>
    <w:rsid w:val="007E5BF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BF0"/>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7E5BF0"/>
    <w:rPr>
      <w:b/>
      <w:bCs/>
      <w:i/>
      <w:iCs/>
      <w:spacing w:val="5"/>
    </w:rPr>
  </w:style>
  <w:style w:type="character" w:styleId="IntenseReference">
    <w:name w:val="Intense Reference"/>
    <w:basedOn w:val="DefaultParagraphFont"/>
    <w:uiPriority w:val="32"/>
    <w:qFormat/>
    <w:rsid w:val="007E5BF0"/>
    <w:rPr>
      <w:b/>
      <w:bCs/>
      <w:smallCaps/>
      <w:color w:val="4472C4" w:themeColor="accent1"/>
      <w:spacing w:val="5"/>
    </w:rPr>
  </w:style>
  <w:style w:type="character" w:styleId="SubtleReference">
    <w:name w:val="Subtle Reference"/>
    <w:basedOn w:val="DefaultParagraphFont"/>
    <w:uiPriority w:val="31"/>
    <w:qFormat/>
    <w:rsid w:val="007E5BF0"/>
    <w:rPr>
      <w:smallCaps/>
      <w:color w:val="5A5A5A" w:themeColor="text1" w:themeTint="A5"/>
    </w:rPr>
  </w:style>
  <w:style w:type="paragraph" w:styleId="Subtitle">
    <w:name w:val="Subtitle"/>
    <w:basedOn w:val="Normal"/>
    <w:next w:val="Normal"/>
    <w:link w:val="SubtitleChar"/>
    <w:uiPriority w:val="11"/>
    <w:qFormat/>
    <w:rsid w:val="007E5BF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5BF0"/>
    <w:rPr>
      <w:rFonts w:eastAsiaTheme="minorEastAsia"/>
      <w:color w:val="5A5A5A" w:themeColor="text1" w:themeTint="A5"/>
      <w:spacing w:val="15"/>
    </w:rPr>
  </w:style>
  <w:style w:type="paragraph" w:customStyle="1" w:styleId="ToolsResources">
    <w:name w:val="Tools/Resources"/>
    <w:basedOn w:val="Normal"/>
    <w:qFormat/>
    <w:rsid w:val="007E5BF0"/>
    <w:pPr>
      <w:ind w:left="720"/>
    </w:pPr>
    <w:rPr>
      <w:i/>
      <w:color w:val="958B86"/>
    </w:rPr>
  </w:style>
  <w:style w:type="paragraph" w:customStyle="1" w:styleId="TRBullet">
    <w:name w:val="T/R Bullet"/>
    <w:basedOn w:val="ToolsResources"/>
    <w:qFormat/>
    <w:rsid w:val="007E5BF0"/>
    <w:pPr>
      <w:numPr>
        <w:numId w:val="2"/>
      </w:numPr>
      <w:ind w:left="1440"/>
    </w:pPr>
  </w:style>
  <w:style w:type="paragraph" w:customStyle="1" w:styleId="6">
    <w:name w:val="6"/>
    <w:basedOn w:val="Normal"/>
    <w:qFormat/>
    <w:rsid w:val="007E5BF0"/>
    <w:rPr>
      <w:sz w:val="12"/>
      <w:szCs w:val="12"/>
    </w:rPr>
  </w:style>
  <w:style w:type="paragraph" w:styleId="NoSpacing">
    <w:name w:val="No Spacing"/>
    <w:uiPriority w:val="1"/>
    <w:qFormat/>
    <w:rsid w:val="007E5BF0"/>
    <w:pPr>
      <w:spacing w:after="0" w:line="240" w:lineRule="auto"/>
      <w:jc w:val="both"/>
    </w:pPr>
  </w:style>
  <w:style w:type="paragraph" w:styleId="TOCHeading">
    <w:name w:val="TOC Heading"/>
    <w:basedOn w:val="Heading1"/>
    <w:next w:val="Normal"/>
    <w:uiPriority w:val="39"/>
    <w:unhideWhenUsed/>
    <w:qFormat/>
    <w:rsid w:val="007E5BF0"/>
    <w:pPr>
      <w:shd w:val="clear" w:color="auto" w:fill="auto"/>
      <w:spacing w:after="0" w:line="259" w:lineRule="auto"/>
      <w:outlineLvl w:val="9"/>
    </w:pPr>
    <w:rPr>
      <w:color w:val="2F5496" w:themeColor="accent1" w:themeShade="BF"/>
    </w:rPr>
  </w:style>
  <w:style w:type="paragraph" w:styleId="TOC1">
    <w:name w:val="toc 1"/>
    <w:basedOn w:val="Normal"/>
    <w:next w:val="Normal"/>
    <w:autoRedefine/>
    <w:uiPriority w:val="39"/>
    <w:unhideWhenUsed/>
    <w:rsid w:val="007E5BF0"/>
    <w:pPr>
      <w:spacing w:after="100"/>
    </w:pPr>
  </w:style>
  <w:style w:type="paragraph" w:styleId="TOC2">
    <w:name w:val="toc 2"/>
    <w:basedOn w:val="Normal"/>
    <w:next w:val="Normal"/>
    <w:autoRedefine/>
    <w:uiPriority w:val="39"/>
    <w:unhideWhenUsed/>
    <w:rsid w:val="007E5BF0"/>
    <w:pPr>
      <w:spacing w:after="100"/>
      <w:ind w:left="220"/>
    </w:pPr>
  </w:style>
  <w:style w:type="paragraph" w:styleId="TOC3">
    <w:name w:val="toc 3"/>
    <w:basedOn w:val="Normal"/>
    <w:next w:val="Normal"/>
    <w:autoRedefine/>
    <w:uiPriority w:val="39"/>
    <w:unhideWhenUsed/>
    <w:rsid w:val="007E5BF0"/>
    <w:pPr>
      <w:spacing w:after="100"/>
      <w:ind w:left="440"/>
    </w:pPr>
  </w:style>
  <w:style w:type="paragraph" w:styleId="Index1">
    <w:name w:val="index 1"/>
    <w:basedOn w:val="Normal"/>
    <w:next w:val="Normal"/>
    <w:autoRedefine/>
    <w:uiPriority w:val="99"/>
    <w:unhideWhenUsed/>
    <w:rsid w:val="007E5BF0"/>
    <w:pPr>
      <w:ind w:left="220" w:hanging="220"/>
    </w:pPr>
    <w:rPr>
      <w:rFonts w:cstheme="minorHAnsi"/>
      <w:sz w:val="18"/>
      <w:szCs w:val="18"/>
    </w:rPr>
  </w:style>
  <w:style w:type="paragraph" w:styleId="Index2">
    <w:name w:val="index 2"/>
    <w:basedOn w:val="Normal"/>
    <w:next w:val="Normal"/>
    <w:autoRedefine/>
    <w:uiPriority w:val="99"/>
    <w:unhideWhenUsed/>
    <w:rsid w:val="007E5BF0"/>
    <w:pPr>
      <w:ind w:left="440" w:hanging="220"/>
    </w:pPr>
    <w:rPr>
      <w:rFonts w:cstheme="minorHAnsi"/>
      <w:sz w:val="18"/>
      <w:szCs w:val="18"/>
    </w:rPr>
  </w:style>
  <w:style w:type="paragraph" w:styleId="Index3">
    <w:name w:val="index 3"/>
    <w:basedOn w:val="Normal"/>
    <w:next w:val="Normal"/>
    <w:autoRedefine/>
    <w:uiPriority w:val="99"/>
    <w:unhideWhenUsed/>
    <w:rsid w:val="007E5BF0"/>
    <w:pPr>
      <w:ind w:left="660" w:hanging="220"/>
    </w:pPr>
    <w:rPr>
      <w:rFonts w:cstheme="minorHAnsi"/>
      <w:sz w:val="18"/>
      <w:szCs w:val="18"/>
    </w:rPr>
  </w:style>
  <w:style w:type="paragraph" w:styleId="Index4">
    <w:name w:val="index 4"/>
    <w:basedOn w:val="Normal"/>
    <w:next w:val="Normal"/>
    <w:autoRedefine/>
    <w:uiPriority w:val="99"/>
    <w:unhideWhenUsed/>
    <w:rsid w:val="007E5BF0"/>
    <w:pPr>
      <w:ind w:left="880" w:hanging="220"/>
    </w:pPr>
    <w:rPr>
      <w:rFonts w:cstheme="minorHAnsi"/>
      <w:sz w:val="18"/>
      <w:szCs w:val="18"/>
    </w:rPr>
  </w:style>
  <w:style w:type="paragraph" w:styleId="Index5">
    <w:name w:val="index 5"/>
    <w:basedOn w:val="Normal"/>
    <w:next w:val="Normal"/>
    <w:autoRedefine/>
    <w:uiPriority w:val="99"/>
    <w:unhideWhenUsed/>
    <w:rsid w:val="007E5BF0"/>
    <w:pPr>
      <w:ind w:left="1100" w:hanging="220"/>
    </w:pPr>
    <w:rPr>
      <w:rFonts w:cstheme="minorHAnsi"/>
      <w:sz w:val="18"/>
      <w:szCs w:val="18"/>
    </w:rPr>
  </w:style>
  <w:style w:type="paragraph" w:styleId="Index6">
    <w:name w:val="index 6"/>
    <w:basedOn w:val="Normal"/>
    <w:next w:val="Normal"/>
    <w:autoRedefine/>
    <w:uiPriority w:val="99"/>
    <w:unhideWhenUsed/>
    <w:rsid w:val="007E5BF0"/>
    <w:pPr>
      <w:ind w:left="1320" w:hanging="220"/>
    </w:pPr>
    <w:rPr>
      <w:rFonts w:cstheme="minorHAnsi"/>
      <w:sz w:val="18"/>
      <w:szCs w:val="18"/>
    </w:rPr>
  </w:style>
  <w:style w:type="paragraph" w:styleId="Index7">
    <w:name w:val="index 7"/>
    <w:basedOn w:val="Normal"/>
    <w:next w:val="Normal"/>
    <w:autoRedefine/>
    <w:uiPriority w:val="99"/>
    <w:unhideWhenUsed/>
    <w:rsid w:val="007E5BF0"/>
    <w:pPr>
      <w:ind w:left="1540" w:hanging="220"/>
    </w:pPr>
    <w:rPr>
      <w:rFonts w:cstheme="minorHAnsi"/>
      <w:sz w:val="18"/>
      <w:szCs w:val="18"/>
    </w:rPr>
  </w:style>
  <w:style w:type="paragraph" w:styleId="Index8">
    <w:name w:val="index 8"/>
    <w:basedOn w:val="Normal"/>
    <w:next w:val="Normal"/>
    <w:autoRedefine/>
    <w:uiPriority w:val="99"/>
    <w:unhideWhenUsed/>
    <w:rsid w:val="007E5BF0"/>
    <w:pPr>
      <w:ind w:left="1760" w:hanging="220"/>
    </w:pPr>
    <w:rPr>
      <w:rFonts w:cstheme="minorHAnsi"/>
      <w:sz w:val="18"/>
      <w:szCs w:val="18"/>
    </w:rPr>
  </w:style>
  <w:style w:type="paragraph" w:styleId="Index9">
    <w:name w:val="index 9"/>
    <w:basedOn w:val="Normal"/>
    <w:next w:val="Normal"/>
    <w:autoRedefine/>
    <w:uiPriority w:val="99"/>
    <w:unhideWhenUsed/>
    <w:rsid w:val="007E5BF0"/>
    <w:pPr>
      <w:ind w:left="1980" w:hanging="220"/>
    </w:pPr>
    <w:rPr>
      <w:rFonts w:cstheme="minorHAnsi"/>
      <w:sz w:val="18"/>
      <w:szCs w:val="18"/>
    </w:rPr>
  </w:style>
  <w:style w:type="paragraph" w:styleId="IndexHeading">
    <w:name w:val="index heading"/>
    <w:basedOn w:val="Normal"/>
    <w:next w:val="Index1"/>
    <w:uiPriority w:val="99"/>
    <w:unhideWhenUsed/>
    <w:rsid w:val="007E5BF0"/>
    <w:pPr>
      <w:spacing w:before="240" w:after="120"/>
      <w:jc w:val="center"/>
    </w:pPr>
    <w:rPr>
      <w:rFonts w:cstheme="minorHAnsi"/>
      <w:b/>
      <w:bCs/>
      <w:sz w:val="26"/>
      <w:szCs w:val="26"/>
    </w:rPr>
  </w:style>
  <w:style w:type="paragraph" w:styleId="EndnoteText">
    <w:name w:val="endnote text"/>
    <w:basedOn w:val="Normal"/>
    <w:link w:val="EndnoteTextChar"/>
    <w:uiPriority w:val="99"/>
    <w:semiHidden/>
    <w:unhideWhenUsed/>
    <w:rsid w:val="007E5BF0"/>
    <w:rPr>
      <w:sz w:val="20"/>
      <w:szCs w:val="20"/>
    </w:rPr>
  </w:style>
  <w:style w:type="character" w:customStyle="1" w:styleId="EndnoteTextChar">
    <w:name w:val="Endnote Text Char"/>
    <w:basedOn w:val="DefaultParagraphFont"/>
    <w:link w:val="EndnoteText"/>
    <w:uiPriority w:val="99"/>
    <w:semiHidden/>
    <w:rsid w:val="007E5BF0"/>
    <w:rPr>
      <w:sz w:val="20"/>
      <w:szCs w:val="20"/>
    </w:rPr>
  </w:style>
  <w:style w:type="character" w:styleId="EndnoteReference">
    <w:name w:val="endnote reference"/>
    <w:basedOn w:val="DefaultParagraphFont"/>
    <w:uiPriority w:val="99"/>
    <w:semiHidden/>
    <w:unhideWhenUsed/>
    <w:rsid w:val="007E5BF0"/>
    <w:rPr>
      <w:vertAlign w:val="superscript"/>
    </w:rPr>
  </w:style>
  <w:style w:type="paragraph" w:styleId="FootnoteText">
    <w:name w:val="footnote text"/>
    <w:basedOn w:val="Normal"/>
    <w:link w:val="FootnoteTextChar"/>
    <w:uiPriority w:val="99"/>
    <w:unhideWhenUsed/>
    <w:rsid w:val="007E5BF0"/>
    <w:rPr>
      <w:sz w:val="20"/>
      <w:szCs w:val="20"/>
    </w:rPr>
  </w:style>
  <w:style w:type="character" w:customStyle="1" w:styleId="FootnoteTextChar">
    <w:name w:val="Footnote Text Char"/>
    <w:basedOn w:val="DefaultParagraphFont"/>
    <w:link w:val="FootnoteText"/>
    <w:uiPriority w:val="99"/>
    <w:rsid w:val="007E5BF0"/>
    <w:rPr>
      <w:sz w:val="20"/>
      <w:szCs w:val="20"/>
    </w:rPr>
  </w:style>
  <w:style w:type="character" w:styleId="FootnoteReference">
    <w:name w:val="footnote reference"/>
    <w:basedOn w:val="DefaultParagraphFont"/>
    <w:uiPriority w:val="99"/>
    <w:semiHidden/>
    <w:unhideWhenUsed/>
    <w:rsid w:val="007E5BF0"/>
    <w:rPr>
      <w:vertAlign w:val="superscript"/>
    </w:rPr>
  </w:style>
  <w:style w:type="paragraph" w:styleId="Revision">
    <w:name w:val="Revision"/>
    <w:hidden/>
    <w:uiPriority w:val="99"/>
    <w:semiHidden/>
    <w:rsid w:val="007E5BF0"/>
    <w:pPr>
      <w:spacing w:after="0" w:line="240" w:lineRule="auto"/>
    </w:pPr>
  </w:style>
  <w:style w:type="paragraph" w:customStyle="1" w:styleId="TableCaption">
    <w:name w:val="Table Caption"/>
    <w:basedOn w:val="Normal"/>
    <w:qFormat/>
    <w:rsid w:val="007E5BF0"/>
    <w:rPr>
      <w:b/>
      <w:bCs/>
    </w:rPr>
  </w:style>
  <w:style w:type="paragraph" w:styleId="Caption">
    <w:name w:val="caption"/>
    <w:basedOn w:val="Normal"/>
    <w:next w:val="Normal"/>
    <w:uiPriority w:val="99"/>
    <w:qFormat/>
    <w:rsid w:val="007E5BF0"/>
    <w:rPr>
      <w:rFonts w:ascii="Times New Roman" w:eastAsia="Calibri" w:hAnsi="Times New Roman" w:cs="Times New Roman"/>
      <w:b/>
      <w:bCs/>
      <w:sz w:val="20"/>
      <w:szCs w:val="20"/>
    </w:rPr>
  </w:style>
  <w:style w:type="paragraph" w:customStyle="1" w:styleId="InstructionalTextSubheading">
    <w:name w:val="Instructional Text (Subheading)"/>
    <w:basedOn w:val="Normal"/>
    <w:qFormat/>
    <w:rsid w:val="007E5BF0"/>
    <w:rPr>
      <w:i/>
      <w:iCs/>
      <w:color w:val="572700"/>
    </w:rPr>
  </w:style>
  <w:style w:type="paragraph" w:styleId="z-TopofForm">
    <w:name w:val="HTML Top of Form"/>
    <w:basedOn w:val="Normal"/>
    <w:next w:val="Normal"/>
    <w:link w:val="z-TopofFormChar"/>
    <w:hidden/>
    <w:uiPriority w:val="99"/>
    <w:semiHidden/>
    <w:unhideWhenUsed/>
    <w:rsid w:val="007E5BF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E5BF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E5BF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E5BF0"/>
    <w:rPr>
      <w:rFonts w:ascii="Arial" w:hAnsi="Arial" w:cs="Arial"/>
      <w:vanish/>
      <w:sz w:val="16"/>
      <w:szCs w:val="16"/>
    </w:rPr>
  </w:style>
  <w:style w:type="paragraph" w:customStyle="1" w:styleId="4">
    <w:name w:val="4"/>
    <w:basedOn w:val="Normal"/>
    <w:qFormat/>
    <w:rsid w:val="007E5BF0"/>
    <w:pPr>
      <w:keepNext/>
      <w:widowControl w:val="0"/>
      <w:jc w:val="center"/>
    </w:pPr>
    <w:rPr>
      <w:bCs/>
      <w:sz w:val="8"/>
      <w:szCs w:val="8"/>
    </w:rPr>
  </w:style>
  <w:style w:type="paragraph" w:customStyle="1" w:styleId="TableParagraph">
    <w:name w:val="Table Paragraph"/>
    <w:basedOn w:val="Normal"/>
    <w:uiPriority w:val="1"/>
    <w:qFormat/>
    <w:rsid w:val="007E5BF0"/>
    <w:pPr>
      <w:widowControl w:val="0"/>
    </w:pPr>
  </w:style>
  <w:style w:type="paragraph" w:customStyle="1" w:styleId="Default">
    <w:name w:val="Default"/>
    <w:rsid w:val="007E5BF0"/>
    <w:pPr>
      <w:autoSpaceDE w:val="0"/>
      <w:autoSpaceDN w:val="0"/>
      <w:adjustRightInd w:val="0"/>
      <w:spacing w:after="0" w:line="240" w:lineRule="auto"/>
    </w:pPr>
    <w:rPr>
      <w:rFonts w:ascii="Calibri" w:hAnsi="Calibri" w:cs="Calibri"/>
      <w:color w:val="000000"/>
      <w:sz w:val="24"/>
      <w:szCs w:val="24"/>
    </w:rPr>
  </w:style>
  <w:style w:type="paragraph" w:customStyle="1" w:styleId="ObjectSubtitle">
    <w:name w:val="Object Subtitle"/>
    <w:next w:val="Normal"/>
    <w:autoRedefine/>
    <w:uiPriority w:val="11"/>
    <w:qFormat/>
    <w:rsid w:val="007E5BF0"/>
    <w:pPr>
      <w:spacing w:after="0" w:line="240" w:lineRule="auto"/>
      <w:jc w:val="center"/>
    </w:pPr>
    <w:rPr>
      <w:rFonts w:ascii="Arial" w:eastAsia="Calibri" w:hAnsi="Arial"/>
      <w:b/>
      <w:sz w:val="20"/>
      <w:szCs w:val="23"/>
    </w:rPr>
  </w:style>
  <w:style w:type="paragraph" w:customStyle="1" w:styleId="Style1">
    <w:name w:val="Style1"/>
    <w:basedOn w:val="Normal"/>
    <w:link w:val="Style1Char"/>
    <w:qFormat/>
    <w:rsid w:val="007E5BF0"/>
    <w:rPr>
      <w:rFonts w:ascii="CG Omega" w:eastAsia="Times New Roman" w:hAnsi="CG Omega" w:cs="Arial"/>
      <w:sz w:val="24"/>
      <w:szCs w:val="24"/>
    </w:rPr>
  </w:style>
  <w:style w:type="character" w:customStyle="1" w:styleId="Style1Char">
    <w:name w:val="Style1 Char"/>
    <w:basedOn w:val="DefaultParagraphFont"/>
    <w:link w:val="Style1"/>
    <w:rsid w:val="007E5BF0"/>
    <w:rPr>
      <w:rFonts w:ascii="CG Omega" w:eastAsia="Times New Roman" w:hAnsi="CG Omega" w:cs="Arial"/>
      <w:sz w:val="24"/>
      <w:szCs w:val="24"/>
    </w:rPr>
  </w:style>
  <w:style w:type="paragraph" w:styleId="BodyText">
    <w:name w:val="Body Text"/>
    <w:aliases w:val=" Char,bt,Char"/>
    <w:basedOn w:val="Normal"/>
    <w:link w:val="BodyTextChar"/>
    <w:uiPriority w:val="1"/>
    <w:qFormat/>
    <w:rsid w:val="007E5BF0"/>
    <w:pPr>
      <w:widowControl w:val="0"/>
      <w:autoSpaceDE w:val="0"/>
      <w:autoSpaceDN w:val="0"/>
    </w:pPr>
    <w:rPr>
      <w:rFonts w:ascii="Calibri" w:eastAsia="Calibri" w:hAnsi="Calibri" w:cs="Calibri"/>
      <w:sz w:val="20"/>
      <w:szCs w:val="20"/>
      <w:lang w:bidi="en-US"/>
    </w:rPr>
  </w:style>
  <w:style w:type="character" w:customStyle="1" w:styleId="BodyTextChar">
    <w:name w:val="Body Text Char"/>
    <w:aliases w:val=" Char Char,bt Char,Char Char"/>
    <w:basedOn w:val="DefaultParagraphFont"/>
    <w:link w:val="BodyText"/>
    <w:uiPriority w:val="1"/>
    <w:rsid w:val="007E5BF0"/>
    <w:rPr>
      <w:rFonts w:ascii="Calibri" w:eastAsia="Calibri" w:hAnsi="Calibri" w:cs="Calibri"/>
      <w:sz w:val="20"/>
      <w:szCs w:val="20"/>
      <w:lang w:bidi="en-US"/>
    </w:rPr>
  </w:style>
  <w:style w:type="character" w:customStyle="1" w:styleId="UnresolvedMention2">
    <w:name w:val="Unresolved Mention2"/>
    <w:basedOn w:val="DefaultParagraphFont"/>
    <w:uiPriority w:val="99"/>
    <w:semiHidden/>
    <w:unhideWhenUsed/>
    <w:rsid w:val="007E5BF0"/>
    <w:rPr>
      <w:color w:val="605E5C"/>
      <w:shd w:val="clear" w:color="auto" w:fill="E1DFDD"/>
    </w:rPr>
  </w:style>
  <w:style w:type="character" w:customStyle="1" w:styleId="UnresolvedMention3">
    <w:name w:val="Unresolved Mention3"/>
    <w:basedOn w:val="DefaultParagraphFont"/>
    <w:uiPriority w:val="99"/>
    <w:semiHidden/>
    <w:unhideWhenUsed/>
    <w:rsid w:val="007E5BF0"/>
    <w:rPr>
      <w:color w:val="605E5C"/>
      <w:shd w:val="clear" w:color="auto" w:fill="E1DFDD"/>
    </w:rPr>
  </w:style>
  <w:style w:type="paragraph" w:styleId="TOC4">
    <w:name w:val="toc 4"/>
    <w:basedOn w:val="Normal"/>
    <w:next w:val="Normal"/>
    <w:autoRedefine/>
    <w:uiPriority w:val="39"/>
    <w:unhideWhenUsed/>
    <w:rsid w:val="007E5BF0"/>
    <w:pPr>
      <w:spacing w:after="100" w:line="259" w:lineRule="auto"/>
      <w:ind w:left="660"/>
    </w:pPr>
    <w:rPr>
      <w:rFonts w:eastAsiaTheme="minorEastAsia"/>
    </w:rPr>
  </w:style>
  <w:style w:type="paragraph" w:styleId="TOC5">
    <w:name w:val="toc 5"/>
    <w:basedOn w:val="Normal"/>
    <w:next w:val="Normal"/>
    <w:autoRedefine/>
    <w:uiPriority w:val="39"/>
    <w:unhideWhenUsed/>
    <w:rsid w:val="007E5BF0"/>
    <w:pPr>
      <w:spacing w:after="100" w:line="259" w:lineRule="auto"/>
      <w:ind w:left="880"/>
    </w:pPr>
    <w:rPr>
      <w:rFonts w:eastAsiaTheme="minorEastAsia"/>
    </w:rPr>
  </w:style>
  <w:style w:type="paragraph" w:styleId="TOC6">
    <w:name w:val="toc 6"/>
    <w:basedOn w:val="Normal"/>
    <w:next w:val="Normal"/>
    <w:autoRedefine/>
    <w:uiPriority w:val="39"/>
    <w:unhideWhenUsed/>
    <w:rsid w:val="007E5BF0"/>
    <w:pPr>
      <w:spacing w:after="100" w:line="259" w:lineRule="auto"/>
      <w:ind w:left="1100"/>
    </w:pPr>
    <w:rPr>
      <w:rFonts w:eastAsiaTheme="minorEastAsia"/>
    </w:rPr>
  </w:style>
  <w:style w:type="paragraph" w:styleId="TOC7">
    <w:name w:val="toc 7"/>
    <w:basedOn w:val="Normal"/>
    <w:next w:val="Normal"/>
    <w:autoRedefine/>
    <w:uiPriority w:val="39"/>
    <w:unhideWhenUsed/>
    <w:rsid w:val="007E5BF0"/>
    <w:pPr>
      <w:spacing w:after="100" w:line="259" w:lineRule="auto"/>
      <w:ind w:left="1320"/>
    </w:pPr>
    <w:rPr>
      <w:rFonts w:eastAsiaTheme="minorEastAsia"/>
    </w:rPr>
  </w:style>
  <w:style w:type="paragraph" w:styleId="TOC8">
    <w:name w:val="toc 8"/>
    <w:basedOn w:val="Normal"/>
    <w:next w:val="Normal"/>
    <w:autoRedefine/>
    <w:uiPriority w:val="39"/>
    <w:unhideWhenUsed/>
    <w:rsid w:val="007E5BF0"/>
    <w:pPr>
      <w:spacing w:after="100" w:line="259" w:lineRule="auto"/>
      <w:ind w:left="1540"/>
    </w:pPr>
    <w:rPr>
      <w:rFonts w:eastAsiaTheme="minorEastAsia"/>
    </w:rPr>
  </w:style>
  <w:style w:type="paragraph" w:styleId="TOC9">
    <w:name w:val="toc 9"/>
    <w:basedOn w:val="Normal"/>
    <w:next w:val="Normal"/>
    <w:autoRedefine/>
    <w:uiPriority w:val="39"/>
    <w:unhideWhenUsed/>
    <w:rsid w:val="007E5BF0"/>
    <w:pPr>
      <w:spacing w:after="100" w:line="259" w:lineRule="auto"/>
      <w:ind w:left="1760"/>
    </w:pPr>
    <w:rPr>
      <w:rFonts w:eastAsiaTheme="minorEastAsia"/>
    </w:rPr>
  </w:style>
  <w:style w:type="paragraph" w:customStyle="1" w:styleId="FigureCaption">
    <w:name w:val="Figure Caption"/>
    <w:basedOn w:val="TableCaption"/>
    <w:qFormat/>
    <w:rsid w:val="007E5BF0"/>
  </w:style>
  <w:style w:type="paragraph" w:customStyle="1" w:styleId="MapCaption">
    <w:name w:val="Map Caption"/>
    <w:basedOn w:val="FigureCaption"/>
    <w:qFormat/>
    <w:rsid w:val="007E5BF0"/>
    <w:pPr>
      <w:jc w:val="center"/>
    </w:pPr>
  </w:style>
  <w:style w:type="table" w:customStyle="1" w:styleId="TableGrid1">
    <w:name w:val="Table Grid1"/>
    <w:basedOn w:val="TableNormal"/>
    <w:next w:val="TableGrid"/>
    <w:uiPriority w:val="39"/>
    <w:rsid w:val="007E5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7E5BF0"/>
    <w:pPr>
      <w:spacing w:after="120"/>
    </w:pPr>
    <w:rPr>
      <w:sz w:val="16"/>
      <w:szCs w:val="16"/>
    </w:rPr>
  </w:style>
  <w:style w:type="character" w:customStyle="1" w:styleId="BodyText3Char">
    <w:name w:val="Body Text 3 Char"/>
    <w:basedOn w:val="DefaultParagraphFont"/>
    <w:link w:val="BodyText3"/>
    <w:uiPriority w:val="99"/>
    <w:semiHidden/>
    <w:rsid w:val="007E5BF0"/>
    <w:rPr>
      <w:sz w:val="16"/>
      <w:szCs w:val="16"/>
    </w:rPr>
  </w:style>
  <w:style w:type="character" w:customStyle="1" w:styleId="UnresolvedMention4">
    <w:name w:val="Unresolved Mention4"/>
    <w:basedOn w:val="DefaultParagraphFont"/>
    <w:uiPriority w:val="99"/>
    <w:semiHidden/>
    <w:unhideWhenUsed/>
    <w:rsid w:val="007E5BF0"/>
    <w:rPr>
      <w:color w:val="605E5C"/>
      <w:shd w:val="clear" w:color="auto" w:fill="E1DFDD"/>
    </w:rPr>
  </w:style>
  <w:style w:type="character" w:customStyle="1" w:styleId="UnresolvedMention5">
    <w:name w:val="Unresolved Mention5"/>
    <w:basedOn w:val="DefaultParagraphFont"/>
    <w:uiPriority w:val="99"/>
    <w:semiHidden/>
    <w:unhideWhenUsed/>
    <w:rsid w:val="007E5BF0"/>
    <w:rPr>
      <w:color w:val="605E5C"/>
      <w:shd w:val="clear" w:color="auto" w:fill="E1DFDD"/>
    </w:rPr>
  </w:style>
  <w:style w:type="character" w:styleId="UnresolvedMention">
    <w:name w:val="Unresolved Mention"/>
    <w:basedOn w:val="DefaultParagraphFont"/>
    <w:uiPriority w:val="99"/>
    <w:semiHidden/>
    <w:unhideWhenUsed/>
    <w:rsid w:val="007E5BF0"/>
    <w:rPr>
      <w:color w:val="605E5C"/>
      <w:shd w:val="clear" w:color="auto" w:fill="E1DFDD"/>
    </w:rPr>
  </w:style>
  <w:style w:type="character" w:customStyle="1" w:styleId="Heading9Char">
    <w:name w:val="Heading 9 Char"/>
    <w:basedOn w:val="DefaultParagraphFont"/>
    <w:link w:val="Heading9"/>
    <w:uiPriority w:val="9"/>
    <w:semiHidden/>
    <w:rsid w:val="00FA5C4D"/>
    <w:rPr>
      <w:rFonts w:asciiTheme="majorHAnsi" w:eastAsiaTheme="majorEastAsia" w:hAnsiTheme="majorHAnsi" w:cstheme="majorBidi"/>
      <w:i/>
      <w:iCs/>
      <w:color w:val="272727" w:themeColor="text1" w:themeTint="D8"/>
      <w:sz w:val="21"/>
      <w:szCs w:val="21"/>
    </w:rPr>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DC4856"/>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DC4856"/>
    <w:rPr>
      <w:rFonts w:ascii="Segoe UI" w:hAnsi="Segoe UI" w:cs="Segoe UI" w:hint="default"/>
      <w:sz w:val="18"/>
      <w:szCs w:val="18"/>
    </w:rPr>
  </w:style>
  <w:style w:type="character" w:customStyle="1" w:styleId="cf11">
    <w:name w:val="cf11"/>
    <w:basedOn w:val="DefaultParagraphFont"/>
    <w:rsid w:val="00DC4856"/>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00747">
      <w:bodyDiv w:val="1"/>
      <w:marLeft w:val="0"/>
      <w:marRight w:val="0"/>
      <w:marTop w:val="0"/>
      <w:marBottom w:val="0"/>
      <w:divBdr>
        <w:top w:val="none" w:sz="0" w:space="0" w:color="auto"/>
        <w:left w:val="none" w:sz="0" w:space="0" w:color="auto"/>
        <w:bottom w:val="none" w:sz="0" w:space="0" w:color="auto"/>
        <w:right w:val="none" w:sz="0" w:space="0" w:color="auto"/>
      </w:divBdr>
    </w:div>
    <w:div w:id="178664442">
      <w:bodyDiv w:val="1"/>
      <w:marLeft w:val="0"/>
      <w:marRight w:val="0"/>
      <w:marTop w:val="0"/>
      <w:marBottom w:val="0"/>
      <w:divBdr>
        <w:top w:val="none" w:sz="0" w:space="0" w:color="auto"/>
        <w:left w:val="none" w:sz="0" w:space="0" w:color="auto"/>
        <w:bottom w:val="none" w:sz="0" w:space="0" w:color="auto"/>
        <w:right w:val="none" w:sz="0" w:space="0" w:color="auto"/>
      </w:divBdr>
    </w:div>
    <w:div w:id="436370056">
      <w:bodyDiv w:val="1"/>
      <w:marLeft w:val="0"/>
      <w:marRight w:val="0"/>
      <w:marTop w:val="0"/>
      <w:marBottom w:val="0"/>
      <w:divBdr>
        <w:top w:val="none" w:sz="0" w:space="0" w:color="auto"/>
        <w:left w:val="none" w:sz="0" w:space="0" w:color="auto"/>
        <w:bottom w:val="none" w:sz="0" w:space="0" w:color="auto"/>
        <w:right w:val="none" w:sz="0" w:space="0" w:color="auto"/>
      </w:divBdr>
    </w:div>
    <w:div w:id="702022853">
      <w:bodyDiv w:val="1"/>
      <w:marLeft w:val="0"/>
      <w:marRight w:val="0"/>
      <w:marTop w:val="0"/>
      <w:marBottom w:val="0"/>
      <w:divBdr>
        <w:top w:val="none" w:sz="0" w:space="0" w:color="auto"/>
        <w:left w:val="none" w:sz="0" w:space="0" w:color="auto"/>
        <w:bottom w:val="none" w:sz="0" w:space="0" w:color="auto"/>
        <w:right w:val="none" w:sz="0" w:space="0" w:color="auto"/>
      </w:divBdr>
      <w:divsChild>
        <w:div w:id="10450783">
          <w:marLeft w:val="0"/>
          <w:marRight w:val="0"/>
          <w:marTop w:val="0"/>
          <w:marBottom w:val="0"/>
          <w:divBdr>
            <w:top w:val="none" w:sz="0" w:space="0" w:color="auto"/>
            <w:left w:val="none" w:sz="0" w:space="0" w:color="auto"/>
            <w:bottom w:val="none" w:sz="0" w:space="0" w:color="auto"/>
            <w:right w:val="none" w:sz="0" w:space="0" w:color="auto"/>
          </w:divBdr>
          <w:divsChild>
            <w:div w:id="1793595407">
              <w:marLeft w:val="0"/>
              <w:marRight w:val="0"/>
              <w:marTop w:val="0"/>
              <w:marBottom w:val="0"/>
              <w:divBdr>
                <w:top w:val="none" w:sz="0" w:space="0" w:color="auto"/>
                <w:left w:val="none" w:sz="0" w:space="0" w:color="auto"/>
                <w:bottom w:val="none" w:sz="0" w:space="0" w:color="auto"/>
                <w:right w:val="none" w:sz="0" w:space="0" w:color="auto"/>
              </w:divBdr>
            </w:div>
          </w:divsChild>
        </w:div>
        <w:div w:id="26684826">
          <w:marLeft w:val="0"/>
          <w:marRight w:val="0"/>
          <w:marTop w:val="0"/>
          <w:marBottom w:val="0"/>
          <w:divBdr>
            <w:top w:val="none" w:sz="0" w:space="0" w:color="auto"/>
            <w:left w:val="none" w:sz="0" w:space="0" w:color="auto"/>
            <w:bottom w:val="none" w:sz="0" w:space="0" w:color="auto"/>
            <w:right w:val="none" w:sz="0" w:space="0" w:color="auto"/>
          </w:divBdr>
          <w:divsChild>
            <w:div w:id="409959790">
              <w:marLeft w:val="0"/>
              <w:marRight w:val="0"/>
              <w:marTop w:val="0"/>
              <w:marBottom w:val="0"/>
              <w:divBdr>
                <w:top w:val="none" w:sz="0" w:space="0" w:color="auto"/>
                <w:left w:val="none" w:sz="0" w:space="0" w:color="auto"/>
                <w:bottom w:val="none" w:sz="0" w:space="0" w:color="auto"/>
                <w:right w:val="none" w:sz="0" w:space="0" w:color="auto"/>
              </w:divBdr>
            </w:div>
          </w:divsChild>
        </w:div>
        <w:div w:id="40178577">
          <w:marLeft w:val="0"/>
          <w:marRight w:val="0"/>
          <w:marTop w:val="0"/>
          <w:marBottom w:val="0"/>
          <w:divBdr>
            <w:top w:val="none" w:sz="0" w:space="0" w:color="auto"/>
            <w:left w:val="none" w:sz="0" w:space="0" w:color="auto"/>
            <w:bottom w:val="none" w:sz="0" w:space="0" w:color="auto"/>
            <w:right w:val="none" w:sz="0" w:space="0" w:color="auto"/>
          </w:divBdr>
          <w:divsChild>
            <w:div w:id="1225406134">
              <w:marLeft w:val="0"/>
              <w:marRight w:val="0"/>
              <w:marTop w:val="0"/>
              <w:marBottom w:val="0"/>
              <w:divBdr>
                <w:top w:val="none" w:sz="0" w:space="0" w:color="auto"/>
                <w:left w:val="none" w:sz="0" w:space="0" w:color="auto"/>
                <w:bottom w:val="none" w:sz="0" w:space="0" w:color="auto"/>
                <w:right w:val="none" w:sz="0" w:space="0" w:color="auto"/>
              </w:divBdr>
            </w:div>
          </w:divsChild>
        </w:div>
        <w:div w:id="59404318">
          <w:marLeft w:val="0"/>
          <w:marRight w:val="0"/>
          <w:marTop w:val="0"/>
          <w:marBottom w:val="0"/>
          <w:divBdr>
            <w:top w:val="none" w:sz="0" w:space="0" w:color="auto"/>
            <w:left w:val="none" w:sz="0" w:space="0" w:color="auto"/>
            <w:bottom w:val="none" w:sz="0" w:space="0" w:color="auto"/>
            <w:right w:val="none" w:sz="0" w:space="0" w:color="auto"/>
          </w:divBdr>
          <w:divsChild>
            <w:div w:id="1473060953">
              <w:marLeft w:val="0"/>
              <w:marRight w:val="0"/>
              <w:marTop w:val="0"/>
              <w:marBottom w:val="0"/>
              <w:divBdr>
                <w:top w:val="none" w:sz="0" w:space="0" w:color="auto"/>
                <w:left w:val="none" w:sz="0" w:space="0" w:color="auto"/>
                <w:bottom w:val="none" w:sz="0" w:space="0" w:color="auto"/>
                <w:right w:val="none" w:sz="0" w:space="0" w:color="auto"/>
              </w:divBdr>
            </w:div>
          </w:divsChild>
        </w:div>
        <w:div w:id="65302543">
          <w:marLeft w:val="0"/>
          <w:marRight w:val="0"/>
          <w:marTop w:val="0"/>
          <w:marBottom w:val="0"/>
          <w:divBdr>
            <w:top w:val="none" w:sz="0" w:space="0" w:color="auto"/>
            <w:left w:val="none" w:sz="0" w:space="0" w:color="auto"/>
            <w:bottom w:val="none" w:sz="0" w:space="0" w:color="auto"/>
            <w:right w:val="none" w:sz="0" w:space="0" w:color="auto"/>
          </w:divBdr>
          <w:divsChild>
            <w:div w:id="1220362581">
              <w:marLeft w:val="0"/>
              <w:marRight w:val="0"/>
              <w:marTop w:val="0"/>
              <w:marBottom w:val="0"/>
              <w:divBdr>
                <w:top w:val="none" w:sz="0" w:space="0" w:color="auto"/>
                <w:left w:val="none" w:sz="0" w:space="0" w:color="auto"/>
                <w:bottom w:val="none" w:sz="0" w:space="0" w:color="auto"/>
                <w:right w:val="none" w:sz="0" w:space="0" w:color="auto"/>
              </w:divBdr>
            </w:div>
          </w:divsChild>
        </w:div>
        <w:div w:id="69350448">
          <w:marLeft w:val="0"/>
          <w:marRight w:val="0"/>
          <w:marTop w:val="0"/>
          <w:marBottom w:val="0"/>
          <w:divBdr>
            <w:top w:val="none" w:sz="0" w:space="0" w:color="auto"/>
            <w:left w:val="none" w:sz="0" w:space="0" w:color="auto"/>
            <w:bottom w:val="none" w:sz="0" w:space="0" w:color="auto"/>
            <w:right w:val="none" w:sz="0" w:space="0" w:color="auto"/>
          </w:divBdr>
          <w:divsChild>
            <w:div w:id="1268076066">
              <w:marLeft w:val="0"/>
              <w:marRight w:val="0"/>
              <w:marTop w:val="0"/>
              <w:marBottom w:val="0"/>
              <w:divBdr>
                <w:top w:val="none" w:sz="0" w:space="0" w:color="auto"/>
                <w:left w:val="none" w:sz="0" w:space="0" w:color="auto"/>
                <w:bottom w:val="none" w:sz="0" w:space="0" w:color="auto"/>
                <w:right w:val="none" w:sz="0" w:space="0" w:color="auto"/>
              </w:divBdr>
            </w:div>
          </w:divsChild>
        </w:div>
        <w:div w:id="99105733">
          <w:marLeft w:val="0"/>
          <w:marRight w:val="0"/>
          <w:marTop w:val="0"/>
          <w:marBottom w:val="0"/>
          <w:divBdr>
            <w:top w:val="none" w:sz="0" w:space="0" w:color="auto"/>
            <w:left w:val="none" w:sz="0" w:space="0" w:color="auto"/>
            <w:bottom w:val="none" w:sz="0" w:space="0" w:color="auto"/>
            <w:right w:val="none" w:sz="0" w:space="0" w:color="auto"/>
          </w:divBdr>
          <w:divsChild>
            <w:div w:id="1973363331">
              <w:marLeft w:val="0"/>
              <w:marRight w:val="0"/>
              <w:marTop w:val="0"/>
              <w:marBottom w:val="0"/>
              <w:divBdr>
                <w:top w:val="none" w:sz="0" w:space="0" w:color="auto"/>
                <w:left w:val="none" w:sz="0" w:space="0" w:color="auto"/>
                <w:bottom w:val="none" w:sz="0" w:space="0" w:color="auto"/>
                <w:right w:val="none" w:sz="0" w:space="0" w:color="auto"/>
              </w:divBdr>
            </w:div>
          </w:divsChild>
        </w:div>
        <w:div w:id="103966135">
          <w:marLeft w:val="0"/>
          <w:marRight w:val="0"/>
          <w:marTop w:val="0"/>
          <w:marBottom w:val="0"/>
          <w:divBdr>
            <w:top w:val="none" w:sz="0" w:space="0" w:color="auto"/>
            <w:left w:val="none" w:sz="0" w:space="0" w:color="auto"/>
            <w:bottom w:val="none" w:sz="0" w:space="0" w:color="auto"/>
            <w:right w:val="none" w:sz="0" w:space="0" w:color="auto"/>
          </w:divBdr>
          <w:divsChild>
            <w:div w:id="542012908">
              <w:marLeft w:val="0"/>
              <w:marRight w:val="0"/>
              <w:marTop w:val="0"/>
              <w:marBottom w:val="0"/>
              <w:divBdr>
                <w:top w:val="none" w:sz="0" w:space="0" w:color="auto"/>
                <w:left w:val="none" w:sz="0" w:space="0" w:color="auto"/>
                <w:bottom w:val="none" w:sz="0" w:space="0" w:color="auto"/>
                <w:right w:val="none" w:sz="0" w:space="0" w:color="auto"/>
              </w:divBdr>
            </w:div>
          </w:divsChild>
        </w:div>
        <w:div w:id="111480871">
          <w:marLeft w:val="0"/>
          <w:marRight w:val="0"/>
          <w:marTop w:val="0"/>
          <w:marBottom w:val="0"/>
          <w:divBdr>
            <w:top w:val="none" w:sz="0" w:space="0" w:color="auto"/>
            <w:left w:val="none" w:sz="0" w:space="0" w:color="auto"/>
            <w:bottom w:val="none" w:sz="0" w:space="0" w:color="auto"/>
            <w:right w:val="none" w:sz="0" w:space="0" w:color="auto"/>
          </w:divBdr>
          <w:divsChild>
            <w:div w:id="1690059904">
              <w:marLeft w:val="0"/>
              <w:marRight w:val="0"/>
              <w:marTop w:val="0"/>
              <w:marBottom w:val="0"/>
              <w:divBdr>
                <w:top w:val="none" w:sz="0" w:space="0" w:color="auto"/>
                <w:left w:val="none" w:sz="0" w:space="0" w:color="auto"/>
                <w:bottom w:val="none" w:sz="0" w:space="0" w:color="auto"/>
                <w:right w:val="none" w:sz="0" w:space="0" w:color="auto"/>
              </w:divBdr>
            </w:div>
          </w:divsChild>
        </w:div>
        <w:div w:id="119420112">
          <w:marLeft w:val="0"/>
          <w:marRight w:val="0"/>
          <w:marTop w:val="0"/>
          <w:marBottom w:val="0"/>
          <w:divBdr>
            <w:top w:val="none" w:sz="0" w:space="0" w:color="auto"/>
            <w:left w:val="none" w:sz="0" w:space="0" w:color="auto"/>
            <w:bottom w:val="none" w:sz="0" w:space="0" w:color="auto"/>
            <w:right w:val="none" w:sz="0" w:space="0" w:color="auto"/>
          </w:divBdr>
          <w:divsChild>
            <w:div w:id="637880068">
              <w:marLeft w:val="0"/>
              <w:marRight w:val="0"/>
              <w:marTop w:val="0"/>
              <w:marBottom w:val="0"/>
              <w:divBdr>
                <w:top w:val="none" w:sz="0" w:space="0" w:color="auto"/>
                <w:left w:val="none" w:sz="0" w:space="0" w:color="auto"/>
                <w:bottom w:val="none" w:sz="0" w:space="0" w:color="auto"/>
                <w:right w:val="none" w:sz="0" w:space="0" w:color="auto"/>
              </w:divBdr>
            </w:div>
          </w:divsChild>
        </w:div>
        <w:div w:id="137262801">
          <w:marLeft w:val="0"/>
          <w:marRight w:val="0"/>
          <w:marTop w:val="0"/>
          <w:marBottom w:val="0"/>
          <w:divBdr>
            <w:top w:val="none" w:sz="0" w:space="0" w:color="auto"/>
            <w:left w:val="none" w:sz="0" w:space="0" w:color="auto"/>
            <w:bottom w:val="none" w:sz="0" w:space="0" w:color="auto"/>
            <w:right w:val="none" w:sz="0" w:space="0" w:color="auto"/>
          </w:divBdr>
          <w:divsChild>
            <w:div w:id="702904535">
              <w:marLeft w:val="0"/>
              <w:marRight w:val="0"/>
              <w:marTop w:val="0"/>
              <w:marBottom w:val="0"/>
              <w:divBdr>
                <w:top w:val="none" w:sz="0" w:space="0" w:color="auto"/>
                <w:left w:val="none" w:sz="0" w:space="0" w:color="auto"/>
                <w:bottom w:val="none" w:sz="0" w:space="0" w:color="auto"/>
                <w:right w:val="none" w:sz="0" w:space="0" w:color="auto"/>
              </w:divBdr>
            </w:div>
          </w:divsChild>
        </w:div>
        <w:div w:id="141850381">
          <w:marLeft w:val="0"/>
          <w:marRight w:val="0"/>
          <w:marTop w:val="0"/>
          <w:marBottom w:val="0"/>
          <w:divBdr>
            <w:top w:val="none" w:sz="0" w:space="0" w:color="auto"/>
            <w:left w:val="none" w:sz="0" w:space="0" w:color="auto"/>
            <w:bottom w:val="none" w:sz="0" w:space="0" w:color="auto"/>
            <w:right w:val="none" w:sz="0" w:space="0" w:color="auto"/>
          </w:divBdr>
          <w:divsChild>
            <w:div w:id="110049878">
              <w:marLeft w:val="0"/>
              <w:marRight w:val="0"/>
              <w:marTop w:val="0"/>
              <w:marBottom w:val="0"/>
              <w:divBdr>
                <w:top w:val="none" w:sz="0" w:space="0" w:color="auto"/>
                <w:left w:val="none" w:sz="0" w:space="0" w:color="auto"/>
                <w:bottom w:val="none" w:sz="0" w:space="0" w:color="auto"/>
                <w:right w:val="none" w:sz="0" w:space="0" w:color="auto"/>
              </w:divBdr>
            </w:div>
          </w:divsChild>
        </w:div>
        <w:div w:id="142896110">
          <w:marLeft w:val="0"/>
          <w:marRight w:val="0"/>
          <w:marTop w:val="0"/>
          <w:marBottom w:val="0"/>
          <w:divBdr>
            <w:top w:val="none" w:sz="0" w:space="0" w:color="auto"/>
            <w:left w:val="none" w:sz="0" w:space="0" w:color="auto"/>
            <w:bottom w:val="none" w:sz="0" w:space="0" w:color="auto"/>
            <w:right w:val="none" w:sz="0" w:space="0" w:color="auto"/>
          </w:divBdr>
          <w:divsChild>
            <w:div w:id="1731271956">
              <w:marLeft w:val="0"/>
              <w:marRight w:val="0"/>
              <w:marTop w:val="0"/>
              <w:marBottom w:val="0"/>
              <w:divBdr>
                <w:top w:val="none" w:sz="0" w:space="0" w:color="auto"/>
                <w:left w:val="none" w:sz="0" w:space="0" w:color="auto"/>
                <w:bottom w:val="none" w:sz="0" w:space="0" w:color="auto"/>
                <w:right w:val="none" w:sz="0" w:space="0" w:color="auto"/>
              </w:divBdr>
            </w:div>
          </w:divsChild>
        </w:div>
        <w:div w:id="143351930">
          <w:marLeft w:val="0"/>
          <w:marRight w:val="0"/>
          <w:marTop w:val="0"/>
          <w:marBottom w:val="0"/>
          <w:divBdr>
            <w:top w:val="none" w:sz="0" w:space="0" w:color="auto"/>
            <w:left w:val="none" w:sz="0" w:space="0" w:color="auto"/>
            <w:bottom w:val="none" w:sz="0" w:space="0" w:color="auto"/>
            <w:right w:val="none" w:sz="0" w:space="0" w:color="auto"/>
          </w:divBdr>
          <w:divsChild>
            <w:div w:id="1237206001">
              <w:marLeft w:val="0"/>
              <w:marRight w:val="0"/>
              <w:marTop w:val="0"/>
              <w:marBottom w:val="0"/>
              <w:divBdr>
                <w:top w:val="none" w:sz="0" w:space="0" w:color="auto"/>
                <w:left w:val="none" w:sz="0" w:space="0" w:color="auto"/>
                <w:bottom w:val="none" w:sz="0" w:space="0" w:color="auto"/>
                <w:right w:val="none" w:sz="0" w:space="0" w:color="auto"/>
              </w:divBdr>
            </w:div>
          </w:divsChild>
        </w:div>
        <w:div w:id="147869011">
          <w:marLeft w:val="0"/>
          <w:marRight w:val="0"/>
          <w:marTop w:val="0"/>
          <w:marBottom w:val="0"/>
          <w:divBdr>
            <w:top w:val="none" w:sz="0" w:space="0" w:color="auto"/>
            <w:left w:val="none" w:sz="0" w:space="0" w:color="auto"/>
            <w:bottom w:val="none" w:sz="0" w:space="0" w:color="auto"/>
            <w:right w:val="none" w:sz="0" w:space="0" w:color="auto"/>
          </w:divBdr>
          <w:divsChild>
            <w:div w:id="1007829954">
              <w:marLeft w:val="0"/>
              <w:marRight w:val="0"/>
              <w:marTop w:val="0"/>
              <w:marBottom w:val="0"/>
              <w:divBdr>
                <w:top w:val="none" w:sz="0" w:space="0" w:color="auto"/>
                <w:left w:val="none" w:sz="0" w:space="0" w:color="auto"/>
                <w:bottom w:val="none" w:sz="0" w:space="0" w:color="auto"/>
                <w:right w:val="none" w:sz="0" w:space="0" w:color="auto"/>
              </w:divBdr>
            </w:div>
          </w:divsChild>
        </w:div>
        <w:div w:id="154611714">
          <w:marLeft w:val="0"/>
          <w:marRight w:val="0"/>
          <w:marTop w:val="0"/>
          <w:marBottom w:val="0"/>
          <w:divBdr>
            <w:top w:val="none" w:sz="0" w:space="0" w:color="auto"/>
            <w:left w:val="none" w:sz="0" w:space="0" w:color="auto"/>
            <w:bottom w:val="none" w:sz="0" w:space="0" w:color="auto"/>
            <w:right w:val="none" w:sz="0" w:space="0" w:color="auto"/>
          </w:divBdr>
          <w:divsChild>
            <w:div w:id="1887254699">
              <w:marLeft w:val="0"/>
              <w:marRight w:val="0"/>
              <w:marTop w:val="0"/>
              <w:marBottom w:val="0"/>
              <w:divBdr>
                <w:top w:val="none" w:sz="0" w:space="0" w:color="auto"/>
                <w:left w:val="none" w:sz="0" w:space="0" w:color="auto"/>
                <w:bottom w:val="none" w:sz="0" w:space="0" w:color="auto"/>
                <w:right w:val="none" w:sz="0" w:space="0" w:color="auto"/>
              </w:divBdr>
            </w:div>
          </w:divsChild>
        </w:div>
        <w:div w:id="178853141">
          <w:marLeft w:val="0"/>
          <w:marRight w:val="0"/>
          <w:marTop w:val="0"/>
          <w:marBottom w:val="0"/>
          <w:divBdr>
            <w:top w:val="none" w:sz="0" w:space="0" w:color="auto"/>
            <w:left w:val="none" w:sz="0" w:space="0" w:color="auto"/>
            <w:bottom w:val="none" w:sz="0" w:space="0" w:color="auto"/>
            <w:right w:val="none" w:sz="0" w:space="0" w:color="auto"/>
          </w:divBdr>
          <w:divsChild>
            <w:div w:id="1821725131">
              <w:marLeft w:val="0"/>
              <w:marRight w:val="0"/>
              <w:marTop w:val="0"/>
              <w:marBottom w:val="0"/>
              <w:divBdr>
                <w:top w:val="none" w:sz="0" w:space="0" w:color="auto"/>
                <w:left w:val="none" w:sz="0" w:space="0" w:color="auto"/>
                <w:bottom w:val="none" w:sz="0" w:space="0" w:color="auto"/>
                <w:right w:val="none" w:sz="0" w:space="0" w:color="auto"/>
              </w:divBdr>
            </w:div>
          </w:divsChild>
        </w:div>
        <w:div w:id="193346822">
          <w:marLeft w:val="0"/>
          <w:marRight w:val="0"/>
          <w:marTop w:val="0"/>
          <w:marBottom w:val="0"/>
          <w:divBdr>
            <w:top w:val="none" w:sz="0" w:space="0" w:color="auto"/>
            <w:left w:val="none" w:sz="0" w:space="0" w:color="auto"/>
            <w:bottom w:val="none" w:sz="0" w:space="0" w:color="auto"/>
            <w:right w:val="none" w:sz="0" w:space="0" w:color="auto"/>
          </w:divBdr>
          <w:divsChild>
            <w:div w:id="1353609214">
              <w:marLeft w:val="0"/>
              <w:marRight w:val="0"/>
              <w:marTop w:val="0"/>
              <w:marBottom w:val="0"/>
              <w:divBdr>
                <w:top w:val="none" w:sz="0" w:space="0" w:color="auto"/>
                <w:left w:val="none" w:sz="0" w:space="0" w:color="auto"/>
                <w:bottom w:val="none" w:sz="0" w:space="0" w:color="auto"/>
                <w:right w:val="none" w:sz="0" w:space="0" w:color="auto"/>
              </w:divBdr>
            </w:div>
          </w:divsChild>
        </w:div>
        <w:div w:id="201747451">
          <w:marLeft w:val="0"/>
          <w:marRight w:val="0"/>
          <w:marTop w:val="0"/>
          <w:marBottom w:val="0"/>
          <w:divBdr>
            <w:top w:val="none" w:sz="0" w:space="0" w:color="auto"/>
            <w:left w:val="none" w:sz="0" w:space="0" w:color="auto"/>
            <w:bottom w:val="none" w:sz="0" w:space="0" w:color="auto"/>
            <w:right w:val="none" w:sz="0" w:space="0" w:color="auto"/>
          </w:divBdr>
          <w:divsChild>
            <w:div w:id="1334799007">
              <w:marLeft w:val="0"/>
              <w:marRight w:val="0"/>
              <w:marTop w:val="0"/>
              <w:marBottom w:val="0"/>
              <w:divBdr>
                <w:top w:val="none" w:sz="0" w:space="0" w:color="auto"/>
                <w:left w:val="none" w:sz="0" w:space="0" w:color="auto"/>
                <w:bottom w:val="none" w:sz="0" w:space="0" w:color="auto"/>
                <w:right w:val="none" w:sz="0" w:space="0" w:color="auto"/>
              </w:divBdr>
            </w:div>
          </w:divsChild>
        </w:div>
        <w:div w:id="217202870">
          <w:marLeft w:val="0"/>
          <w:marRight w:val="0"/>
          <w:marTop w:val="0"/>
          <w:marBottom w:val="0"/>
          <w:divBdr>
            <w:top w:val="none" w:sz="0" w:space="0" w:color="auto"/>
            <w:left w:val="none" w:sz="0" w:space="0" w:color="auto"/>
            <w:bottom w:val="none" w:sz="0" w:space="0" w:color="auto"/>
            <w:right w:val="none" w:sz="0" w:space="0" w:color="auto"/>
          </w:divBdr>
          <w:divsChild>
            <w:div w:id="1179810701">
              <w:marLeft w:val="0"/>
              <w:marRight w:val="0"/>
              <w:marTop w:val="0"/>
              <w:marBottom w:val="0"/>
              <w:divBdr>
                <w:top w:val="none" w:sz="0" w:space="0" w:color="auto"/>
                <w:left w:val="none" w:sz="0" w:space="0" w:color="auto"/>
                <w:bottom w:val="none" w:sz="0" w:space="0" w:color="auto"/>
                <w:right w:val="none" w:sz="0" w:space="0" w:color="auto"/>
              </w:divBdr>
            </w:div>
          </w:divsChild>
        </w:div>
        <w:div w:id="243729098">
          <w:marLeft w:val="0"/>
          <w:marRight w:val="0"/>
          <w:marTop w:val="0"/>
          <w:marBottom w:val="0"/>
          <w:divBdr>
            <w:top w:val="none" w:sz="0" w:space="0" w:color="auto"/>
            <w:left w:val="none" w:sz="0" w:space="0" w:color="auto"/>
            <w:bottom w:val="none" w:sz="0" w:space="0" w:color="auto"/>
            <w:right w:val="none" w:sz="0" w:space="0" w:color="auto"/>
          </w:divBdr>
          <w:divsChild>
            <w:div w:id="2036298961">
              <w:marLeft w:val="0"/>
              <w:marRight w:val="0"/>
              <w:marTop w:val="0"/>
              <w:marBottom w:val="0"/>
              <w:divBdr>
                <w:top w:val="none" w:sz="0" w:space="0" w:color="auto"/>
                <w:left w:val="none" w:sz="0" w:space="0" w:color="auto"/>
                <w:bottom w:val="none" w:sz="0" w:space="0" w:color="auto"/>
                <w:right w:val="none" w:sz="0" w:space="0" w:color="auto"/>
              </w:divBdr>
            </w:div>
          </w:divsChild>
        </w:div>
        <w:div w:id="250238846">
          <w:marLeft w:val="0"/>
          <w:marRight w:val="0"/>
          <w:marTop w:val="0"/>
          <w:marBottom w:val="0"/>
          <w:divBdr>
            <w:top w:val="none" w:sz="0" w:space="0" w:color="auto"/>
            <w:left w:val="none" w:sz="0" w:space="0" w:color="auto"/>
            <w:bottom w:val="none" w:sz="0" w:space="0" w:color="auto"/>
            <w:right w:val="none" w:sz="0" w:space="0" w:color="auto"/>
          </w:divBdr>
          <w:divsChild>
            <w:div w:id="67968376">
              <w:marLeft w:val="0"/>
              <w:marRight w:val="0"/>
              <w:marTop w:val="0"/>
              <w:marBottom w:val="0"/>
              <w:divBdr>
                <w:top w:val="none" w:sz="0" w:space="0" w:color="auto"/>
                <w:left w:val="none" w:sz="0" w:space="0" w:color="auto"/>
                <w:bottom w:val="none" w:sz="0" w:space="0" w:color="auto"/>
                <w:right w:val="none" w:sz="0" w:space="0" w:color="auto"/>
              </w:divBdr>
            </w:div>
          </w:divsChild>
        </w:div>
        <w:div w:id="251201409">
          <w:marLeft w:val="0"/>
          <w:marRight w:val="0"/>
          <w:marTop w:val="0"/>
          <w:marBottom w:val="0"/>
          <w:divBdr>
            <w:top w:val="none" w:sz="0" w:space="0" w:color="auto"/>
            <w:left w:val="none" w:sz="0" w:space="0" w:color="auto"/>
            <w:bottom w:val="none" w:sz="0" w:space="0" w:color="auto"/>
            <w:right w:val="none" w:sz="0" w:space="0" w:color="auto"/>
          </w:divBdr>
          <w:divsChild>
            <w:div w:id="900408897">
              <w:marLeft w:val="0"/>
              <w:marRight w:val="0"/>
              <w:marTop w:val="0"/>
              <w:marBottom w:val="0"/>
              <w:divBdr>
                <w:top w:val="none" w:sz="0" w:space="0" w:color="auto"/>
                <w:left w:val="none" w:sz="0" w:space="0" w:color="auto"/>
                <w:bottom w:val="none" w:sz="0" w:space="0" w:color="auto"/>
                <w:right w:val="none" w:sz="0" w:space="0" w:color="auto"/>
              </w:divBdr>
            </w:div>
          </w:divsChild>
        </w:div>
        <w:div w:id="259724724">
          <w:marLeft w:val="0"/>
          <w:marRight w:val="0"/>
          <w:marTop w:val="0"/>
          <w:marBottom w:val="0"/>
          <w:divBdr>
            <w:top w:val="none" w:sz="0" w:space="0" w:color="auto"/>
            <w:left w:val="none" w:sz="0" w:space="0" w:color="auto"/>
            <w:bottom w:val="none" w:sz="0" w:space="0" w:color="auto"/>
            <w:right w:val="none" w:sz="0" w:space="0" w:color="auto"/>
          </w:divBdr>
          <w:divsChild>
            <w:div w:id="350880054">
              <w:marLeft w:val="0"/>
              <w:marRight w:val="0"/>
              <w:marTop w:val="0"/>
              <w:marBottom w:val="0"/>
              <w:divBdr>
                <w:top w:val="none" w:sz="0" w:space="0" w:color="auto"/>
                <w:left w:val="none" w:sz="0" w:space="0" w:color="auto"/>
                <w:bottom w:val="none" w:sz="0" w:space="0" w:color="auto"/>
                <w:right w:val="none" w:sz="0" w:space="0" w:color="auto"/>
              </w:divBdr>
            </w:div>
          </w:divsChild>
        </w:div>
        <w:div w:id="280647178">
          <w:marLeft w:val="0"/>
          <w:marRight w:val="0"/>
          <w:marTop w:val="0"/>
          <w:marBottom w:val="0"/>
          <w:divBdr>
            <w:top w:val="none" w:sz="0" w:space="0" w:color="auto"/>
            <w:left w:val="none" w:sz="0" w:space="0" w:color="auto"/>
            <w:bottom w:val="none" w:sz="0" w:space="0" w:color="auto"/>
            <w:right w:val="none" w:sz="0" w:space="0" w:color="auto"/>
          </w:divBdr>
          <w:divsChild>
            <w:div w:id="1146164826">
              <w:marLeft w:val="0"/>
              <w:marRight w:val="0"/>
              <w:marTop w:val="0"/>
              <w:marBottom w:val="0"/>
              <w:divBdr>
                <w:top w:val="none" w:sz="0" w:space="0" w:color="auto"/>
                <w:left w:val="none" w:sz="0" w:space="0" w:color="auto"/>
                <w:bottom w:val="none" w:sz="0" w:space="0" w:color="auto"/>
                <w:right w:val="none" w:sz="0" w:space="0" w:color="auto"/>
              </w:divBdr>
            </w:div>
          </w:divsChild>
        </w:div>
        <w:div w:id="292297571">
          <w:marLeft w:val="0"/>
          <w:marRight w:val="0"/>
          <w:marTop w:val="0"/>
          <w:marBottom w:val="0"/>
          <w:divBdr>
            <w:top w:val="none" w:sz="0" w:space="0" w:color="auto"/>
            <w:left w:val="none" w:sz="0" w:space="0" w:color="auto"/>
            <w:bottom w:val="none" w:sz="0" w:space="0" w:color="auto"/>
            <w:right w:val="none" w:sz="0" w:space="0" w:color="auto"/>
          </w:divBdr>
          <w:divsChild>
            <w:div w:id="199363945">
              <w:marLeft w:val="0"/>
              <w:marRight w:val="0"/>
              <w:marTop w:val="0"/>
              <w:marBottom w:val="0"/>
              <w:divBdr>
                <w:top w:val="none" w:sz="0" w:space="0" w:color="auto"/>
                <w:left w:val="none" w:sz="0" w:space="0" w:color="auto"/>
                <w:bottom w:val="none" w:sz="0" w:space="0" w:color="auto"/>
                <w:right w:val="none" w:sz="0" w:space="0" w:color="auto"/>
              </w:divBdr>
            </w:div>
          </w:divsChild>
        </w:div>
        <w:div w:id="303898605">
          <w:marLeft w:val="0"/>
          <w:marRight w:val="0"/>
          <w:marTop w:val="0"/>
          <w:marBottom w:val="0"/>
          <w:divBdr>
            <w:top w:val="none" w:sz="0" w:space="0" w:color="auto"/>
            <w:left w:val="none" w:sz="0" w:space="0" w:color="auto"/>
            <w:bottom w:val="none" w:sz="0" w:space="0" w:color="auto"/>
            <w:right w:val="none" w:sz="0" w:space="0" w:color="auto"/>
          </w:divBdr>
          <w:divsChild>
            <w:div w:id="1867523298">
              <w:marLeft w:val="0"/>
              <w:marRight w:val="0"/>
              <w:marTop w:val="0"/>
              <w:marBottom w:val="0"/>
              <w:divBdr>
                <w:top w:val="none" w:sz="0" w:space="0" w:color="auto"/>
                <w:left w:val="none" w:sz="0" w:space="0" w:color="auto"/>
                <w:bottom w:val="none" w:sz="0" w:space="0" w:color="auto"/>
                <w:right w:val="none" w:sz="0" w:space="0" w:color="auto"/>
              </w:divBdr>
            </w:div>
          </w:divsChild>
        </w:div>
        <w:div w:id="304511411">
          <w:marLeft w:val="0"/>
          <w:marRight w:val="0"/>
          <w:marTop w:val="0"/>
          <w:marBottom w:val="0"/>
          <w:divBdr>
            <w:top w:val="none" w:sz="0" w:space="0" w:color="auto"/>
            <w:left w:val="none" w:sz="0" w:space="0" w:color="auto"/>
            <w:bottom w:val="none" w:sz="0" w:space="0" w:color="auto"/>
            <w:right w:val="none" w:sz="0" w:space="0" w:color="auto"/>
          </w:divBdr>
          <w:divsChild>
            <w:div w:id="1918708753">
              <w:marLeft w:val="0"/>
              <w:marRight w:val="0"/>
              <w:marTop w:val="0"/>
              <w:marBottom w:val="0"/>
              <w:divBdr>
                <w:top w:val="none" w:sz="0" w:space="0" w:color="auto"/>
                <w:left w:val="none" w:sz="0" w:space="0" w:color="auto"/>
                <w:bottom w:val="none" w:sz="0" w:space="0" w:color="auto"/>
                <w:right w:val="none" w:sz="0" w:space="0" w:color="auto"/>
              </w:divBdr>
            </w:div>
          </w:divsChild>
        </w:div>
        <w:div w:id="313073242">
          <w:marLeft w:val="0"/>
          <w:marRight w:val="0"/>
          <w:marTop w:val="0"/>
          <w:marBottom w:val="0"/>
          <w:divBdr>
            <w:top w:val="none" w:sz="0" w:space="0" w:color="auto"/>
            <w:left w:val="none" w:sz="0" w:space="0" w:color="auto"/>
            <w:bottom w:val="none" w:sz="0" w:space="0" w:color="auto"/>
            <w:right w:val="none" w:sz="0" w:space="0" w:color="auto"/>
          </w:divBdr>
          <w:divsChild>
            <w:div w:id="137502506">
              <w:marLeft w:val="0"/>
              <w:marRight w:val="0"/>
              <w:marTop w:val="0"/>
              <w:marBottom w:val="0"/>
              <w:divBdr>
                <w:top w:val="none" w:sz="0" w:space="0" w:color="auto"/>
                <w:left w:val="none" w:sz="0" w:space="0" w:color="auto"/>
                <w:bottom w:val="none" w:sz="0" w:space="0" w:color="auto"/>
                <w:right w:val="none" w:sz="0" w:space="0" w:color="auto"/>
              </w:divBdr>
            </w:div>
          </w:divsChild>
        </w:div>
        <w:div w:id="328483657">
          <w:marLeft w:val="0"/>
          <w:marRight w:val="0"/>
          <w:marTop w:val="0"/>
          <w:marBottom w:val="0"/>
          <w:divBdr>
            <w:top w:val="none" w:sz="0" w:space="0" w:color="auto"/>
            <w:left w:val="none" w:sz="0" w:space="0" w:color="auto"/>
            <w:bottom w:val="none" w:sz="0" w:space="0" w:color="auto"/>
            <w:right w:val="none" w:sz="0" w:space="0" w:color="auto"/>
          </w:divBdr>
          <w:divsChild>
            <w:div w:id="2094886780">
              <w:marLeft w:val="0"/>
              <w:marRight w:val="0"/>
              <w:marTop w:val="0"/>
              <w:marBottom w:val="0"/>
              <w:divBdr>
                <w:top w:val="none" w:sz="0" w:space="0" w:color="auto"/>
                <w:left w:val="none" w:sz="0" w:space="0" w:color="auto"/>
                <w:bottom w:val="none" w:sz="0" w:space="0" w:color="auto"/>
                <w:right w:val="none" w:sz="0" w:space="0" w:color="auto"/>
              </w:divBdr>
            </w:div>
          </w:divsChild>
        </w:div>
        <w:div w:id="340282267">
          <w:marLeft w:val="0"/>
          <w:marRight w:val="0"/>
          <w:marTop w:val="0"/>
          <w:marBottom w:val="0"/>
          <w:divBdr>
            <w:top w:val="none" w:sz="0" w:space="0" w:color="auto"/>
            <w:left w:val="none" w:sz="0" w:space="0" w:color="auto"/>
            <w:bottom w:val="none" w:sz="0" w:space="0" w:color="auto"/>
            <w:right w:val="none" w:sz="0" w:space="0" w:color="auto"/>
          </w:divBdr>
          <w:divsChild>
            <w:div w:id="535778244">
              <w:marLeft w:val="0"/>
              <w:marRight w:val="0"/>
              <w:marTop w:val="0"/>
              <w:marBottom w:val="0"/>
              <w:divBdr>
                <w:top w:val="none" w:sz="0" w:space="0" w:color="auto"/>
                <w:left w:val="none" w:sz="0" w:space="0" w:color="auto"/>
                <w:bottom w:val="none" w:sz="0" w:space="0" w:color="auto"/>
                <w:right w:val="none" w:sz="0" w:space="0" w:color="auto"/>
              </w:divBdr>
            </w:div>
          </w:divsChild>
        </w:div>
        <w:div w:id="342900097">
          <w:marLeft w:val="0"/>
          <w:marRight w:val="0"/>
          <w:marTop w:val="0"/>
          <w:marBottom w:val="0"/>
          <w:divBdr>
            <w:top w:val="none" w:sz="0" w:space="0" w:color="auto"/>
            <w:left w:val="none" w:sz="0" w:space="0" w:color="auto"/>
            <w:bottom w:val="none" w:sz="0" w:space="0" w:color="auto"/>
            <w:right w:val="none" w:sz="0" w:space="0" w:color="auto"/>
          </w:divBdr>
          <w:divsChild>
            <w:div w:id="1520388882">
              <w:marLeft w:val="0"/>
              <w:marRight w:val="0"/>
              <w:marTop w:val="0"/>
              <w:marBottom w:val="0"/>
              <w:divBdr>
                <w:top w:val="none" w:sz="0" w:space="0" w:color="auto"/>
                <w:left w:val="none" w:sz="0" w:space="0" w:color="auto"/>
                <w:bottom w:val="none" w:sz="0" w:space="0" w:color="auto"/>
                <w:right w:val="none" w:sz="0" w:space="0" w:color="auto"/>
              </w:divBdr>
            </w:div>
          </w:divsChild>
        </w:div>
        <w:div w:id="348336302">
          <w:marLeft w:val="0"/>
          <w:marRight w:val="0"/>
          <w:marTop w:val="0"/>
          <w:marBottom w:val="0"/>
          <w:divBdr>
            <w:top w:val="none" w:sz="0" w:space="0" w:color="auto"/>
            <w:left w:val="none" w:sz="0" w:space="0" w:color="auto"/>
            <w:bottom w:val="none" w:sz="0" w:space="0" w:color="auto"/>
            <w:right w:val="none" w:sz="0" w:space="0" w:color="auto"/>
          </w:divBdr>
          <w:divsChild>
            <w:div w:id="25906846">
              <w:marLeft w:val="0"/>
              <w:marRight w:val="0"/>
              <w:marTop w:val="0"/>
              <w:marBottom w:val="0"/>
              <w:divBdr>
                <w:top w:val="none" w:sz="0" w:space="0" w:color="auto"/>
                <w:left w:val="none" w:sz="0" w:space="0" w:color="auto"/>
                <w:bottom w:val="none" w:sz="0" w:space="0" w:color="auto"/>
                <w:right w:val="none" w:sz="0" w:space="0" w:color="auto"/>
              </w:divBdr>
            </w:div>
          </w:divsChild>
        </w:div>
        <w:div w:id="357312084">
          <w:marLeft w:val="0"/>
          <w:marRight w:val="0"/>
          <w:marTop w:val="0"/>
          <w:marBottom w:val="0"/>
          <w:divBdr>
            <w:top w:val="none" w:sz="0" w:space="0" w:color="auto"/>
            <w:left w:val="none" w:sz="0" w:space="0" w:color="auto"/>
            <w:bottom w:val="none" w:sz="0" w:space="0" w:color="auto"/>
            <w:right w:val="none" w:sz="0" w:space="0" w:color="auto"/>
          </w:divBdr>
          <w:divsChild>
            <w:div w:id="614218877">
              <w:marLeft w:val="0"/>
              <w:marRight w:val="0"/>
              <w:marTop w:val="0"/>
              <w:marBottom w:val="0"/>
              <w:divBdr>
                <w:top w:val="none" w:sz="0" w:space="0" w:color="auto"/>
                <w:left w:val="none" w:sz="0" w:space="0" w:color="auto"/>
                <w:bottom w:val="none" w:sz="0" w:space="0" w:color="auto"/>
                <w:right w:val="none" w:sz="0" w:space="0" w:color="auto"/>
              </w:divBdr>
            </w:div>
          </w:divsChild>
        </w:div>
        <w:div w:id="375356173">
          <w:marLeft w:val="0"/>
          <w:marRight w:val="0"/>
          <w:marTop w:val="0"/>
          <w:marBottom w:val="0"/>
          <w:divBdr>
            <w:top w:val="none" w:sz="0" w:space="0" w:color="auto"/>
            <w:left w:val="none" w:sz="0" w:space="0" w:color="auto"/>
            <w:bottom w:val="none" w:sz="0" w:space="0" w:color="auto"/>
            <w:right w:val="none" w:sz="0" w:space="0" w:color="auto"/>
          </w:divBdr>
          <w:divsChild>
            <w:div w:id="787966494">
              <w:marLeft w:val="0"/>
              <w:marRight w:val="0"/>
              <w:marTop w:val="0"/>
              <w:marBottom w:val="0"/>
              <w:divBdr>
                <w:top w:val="none" w:sz="0" w:space="0" w:color="auto"/>
                <w:left w:val="none" w:sz="0" w:space="0" w:color="auto"/>
                <w:bottom w:val="none" w:sz="0" w:space="0" w:color="auto"/>
                <w:right w:val="none" w:sz="0" w:space="0" w:color="auto"/>
              </w:divBdr>
            </w:div>
          </w:divsChild>
        </w:div>
        <w:div w:id="394015854">
          <w:marLeft w:val="0"/>
          <w:marRight w:val="0"/>
          <w:marTop w:val="0"/>
          <w:marBottom w:val="0"/>
          <w:divBdr>
            <w:top w:val="none" w:sz="0" w:space="0" w:color="auto"/>
            <w:left w:val="none" w:sz="0" w:space="0" w:color="auto"/>
            <w:bottom w:val="none" w:sz="0" w:space="0" w:color="auto"/>
            <w:right w:val="none" w:sz="0" w:space="0" w:color="auto"/>
          </w:divBdr>
          <w:divsChild>
            <w:div w:id="1398362752">
              <w:marLeft w:val="0"/>
              <w:marRight w:val="0"/>
              <w:marTop w:val="0"/>
              <w:marBottom w:val="0"/>
              <w:divBdr>
                <w:top w:val="none" w:sz="0" w:space="0" w:color="auto"/>
                <w:left w:val="none" w:sz="0" w:space="0" w:color="auto"/>
                <w:bottom w:val="none" w:sz="0" w:space="0" w:color="auto"/>
                <w:right w:val="none" w:sz="0" w:space="0" w:color="auto"/>
              </w:divBdr>
            </w:div>
          </w:divsChild>
        </w:div>
        <w:div w:id="406651263">
          <w:marLeft w:val="0"/>
          <w:marRight w:val="0"/>
          <w:marTop w:val="0"/>
          <w:marBottom w:val="0"/>
          <w:divBdr>
            <w:top w:val="none" w:sz="0" w:space="0" w:color="auto"/>
            <w:left w:val="none" w:sz="0" w:space="0" w:color="auto"/>
            <w:bottom w:val="none" w:sz="0" w:space="0" w:color="auto"/>
            <w:right w:val="none" w:sz="0" w:space="0" w:color="auto"/>
          </w:divBdr>
          <w:divsChild>
            <w:div w:id="875461758">
              <w:marLeft w:val="0"/>
              <w:marRight w:val="0"/>
              <w:marTop w:val="0"/>
              <w:marBottom w:val="0"/>
              <w:divBdr>
                <w:top w:val="none" w:sz="0" w:space="0" w:color="auto"/>
                <w:left w:val="none" w:sz="0" w:space="0" w:color="auto"/>
                <w:bottom w:val="none" w:sz="0" w:space="0" w:color="auto"/>
                <w:right w:val="none" w:sz="0" w:space="0" w:color="auto"/>
              </w:divBdr>
            </w:div>
          </w:divsChild>
        </w:div>
        <w:div w:id="415245429">
          <w:marLeft w:val="0"/>
          <w:marRight w:val="0"/>
          <w:marTop w:val="0"/>
          <w:marBottom w:val="0"/>
          <w:divBdr>
            <w:top w:val="none" w:sz="0" w:space="0" w:color="auto"/>
            <w:left w:val="none" w:sz="0" w:space="0" w:color="auto"/>
            <w:bottom w:val="none" w:sz="0" w:space="0" w:color="auto"/>
            <w:right w:val="none" w:sz="0" w:space="0" w:color="auto"/>
          </w:divBdr>
          <w:divsChild>
            <w:div w:id="1784839087">
              <w:marLeft w:val="0"/>
              <w:marRight w:val="0"/>
              <w:marTop w:val="0"/>
              <w:marBottom w:val="0"/>
              <w:divBdr>
                <w:top w:val="none" w:sz="0" w:space="0" w:color="auto"/>
                <w:left w:val="none" w:sz="0" w:space="0" w:color="auto"/>
                <w:bottom w:val="none" w:sz="0" w:space="0" w:color="auto"/>
                <w:right w:val="none" w:sz="0" w:space="0" w:color="auto"/>
              </w:divBdr>
            </w:div>
          </w:divsChild>
        </w:div>
        <w:div w:id="441611461">
          <w:marLeft w:val="0"/>
          <w:marRight w:val="0"/>
          <w:marTop w:val="0"/>
          <w:marBottom w:val="0"/>
          <w:divBdr>
            <w:top w:val="none" w:sz="0" w:space="0" w:color="auto"/>
            <w:left w:val="none" w:sz="0" w:space="0" w:color="auto"/>
            <w:bottom w:val="none" w:sz="0" w:space="0" w:color="auto"/>
            <w:right w:val="none" w:sz="0" w:space="0" w:color="auto"/>
          </w:divBdr>
          <w:divsChild>
            <w:div w:id="14696269">
              <w:marLeft w:val="0"/>
              <w:marRight w:val="0"/>
              <w:marTop w:val="0"/>
              <w:marBottom w:val="0"/>
              <w:divBdr>
                <w:top w:val="none" w:sz="0" w:space="0" w:color="auto"/>
                <w:left w:val="none" w:sz="0" w:space="0" w:color="auto"/>
                <w:bottom w:val="none" w:sz="0" w:space="0" w:color="auto"/>
                <w:right w:val="none" w:sz="0" w:space="0" w:color="auto"/>
              </w:divBdr>
            </w:div>
          </w:divsChild>
        </w:div>
        <w:div w:id="444807913">
          <w:marLeft w:val="0"/>
          <w:marRight w:val="0"/>
          <w:marTop w:val="0"/>
          <w:marBottom w:val="0"/>
          <w:divBdr>
            <w:top w:val="none" w:sz="0" w:space="0" w:color="auto"/>
            <w:left w:val="none" w:sz="0" w:space="0" w:color="auto"/>
            <w:bottom w:val="none" w:sz="0" w:space="0" w:color="auto"/>
            <w:right w:val="none" w:sz="0" w:space="0" w:color="auto"/>
          </w:divBdr>
          <w:divsChild>
            <w:div w:id="371614477">
              <w:marLeft w:val="0"/>
              <w:marRight w:val="0"/>
              <w:marTop w:val="0"/>
              <w:marBottom w:val="0"/>
              <w:divBdr>
                <w:top w:val="none" w:sz="0" w:space="0" w:color="auto"/>
                <w:left w:val="none" w:sz="0" w:space="0" w:color="auto"/>
                <w:bottom w:val="none" w:sz="0" w:space="0" w:color="auto"/>
                <w:right w:val="none" w:sz="0" w:space="0" w:color="auto"/>
              </w:divBdr>
            </w:div>
          </w:divsChild>
        </w:div>
        <w:div w:id="452792742">
          <w:marLeft w:val="0"/>
          <w:marRight w:val="0"/>
          <w:marTop w:val="0"/>
          <w:marBottom w:val="0"/>
          <w:divBdr>
            <w:top w:val="none" w:sz="0" w:space="0" w:color="auto"/>
            <w:left w:val="none" w:sz="0" w:space="0" w:color="auto"/>
            <w:bottom w:val="none" w:sz="0" w:space="0" w:color="auto"/>
            <w:right w:val="none" w:sz="0" w:space="0" w:color="auto"/>
          </w:divBdr>
          <w:divsChild>
            <w:div w:id="1141800322">
              <w:marLeft w:val="0"/>
              <w:marRight w:val="0"/>
              <w:marTop w:val="0"/>
              <w:marBottom w:val="0"/>
              <w:divBdr>
                <w:top w:val="none" w:sz="0" w:space="0" w:color="auto"/>
                <w:left w:val="none" w:sz="0" w:space="0" w:color="auto"/>
                <w:bottom w:val="none" w:sz="0" w:space="0" w:color="auto"/>
                <w:right w:val="none" w:sz="0" w:space="0" w:color="auto"/>
              </w:divBdr>
            </w:div>
          </w:divsChild>
        </w:div>
        <w:div w:id="453715242">
          <w:marLeft w:val="0"/>
          <w:marRight w:val="0"/>
          <w:marTop w:val="0"/>
          <w:marBottom w:val="0"/>
          <w:divBdr>
            <w:top w:val="none" w:sz="0" w:space="0" w:color="auto"/>
            <w:left w:val="none" w:sz="0" w:space="0" w:color="auto"/>
            <w:bottom w:val="none" w:sz="0" w:space="0" w:color="auto"/>
            <w:right w:val="none" w:sz="0" w:space="0" w:color="auto"/>
          </w:divBdr>
          <w:divsChild>
            <w:div w:id="1847280896">
              <w:marLeft w:val="0"/>
              <w:marRight w:val="0"/>
              <w:marTop w:val="0"/>
              <w:marBottom w:val="0"/>
              <w:divBdr>
                <w:top w:val="none" w:sz="0" w:space="0" w:color="auto"/>
                <w:left w:val="none" w:sz="0" w:space="0" w:color="auto"/>
                <w:bottom w:val="none" w:sz="0" w:space="0" w:color="auto"/>
                <w:right w:val="none" w:sz="0" w:space="0" w:color="auto"/>
              </w:divBdr>
            </w:div>
          </w:divsChild>
        </w:div>
        <w:div w:id="456800282">
          <w:marLeft w:val="0"/>
          <w:marRight w:val="0"/>
          <w:marTop w:val="0"/>
          <w:marBottom w:val="0"/>
          <w:divBdr>
            <w:top w:val="none" w:sz="0" w:space="0" w:color="auto"/>
            <w:left w:val="none" w:sz="0" w:space="0" w:color="auto"/>
            <w:bottom w:val="none" w:sz="0" w:space="0" w:color="auto"/>
            <w:right w:val="none" w:sz="0" w:space="0" w:color="auto"/>
          </w:divBdr>
          <w:divsChild>
            <w:div w:id="384839137">
              <w:marLeft w:val="0"/>
              <w:marRight w:val="0"/>
              <w:marTop w:val="0"/>
              <w:marBottom w:val="0"/>
              <w:divBdr>
                <w:top w:val="none" w:sz="0" w:space="0" w:color="auto"/>
                <w:left w:val="none" w:sz="0" w:space="0" w:color="auto"/>
                <w:bottom w:val="none" w:sz="0" w:space="0" w:color="auto"/>
                <w:right w:val="none" w:sz="0" w:space="0" w:color="auto"/>
              </w:divBdr>
            </w:div>
          </w:divsChild>
        </w:div>
        <w:div w:id="473109360">
          <w:marLeft w:val="0"/>
          <w:marRight w:val="0"/>
          <w:marTop w:val="0"/>
          <w:marBottom w:val="0"/>
          <w:divBdr>
            <w:top w:val="none" w:sz="0" w:space="0" w:color="auto"/>
            <w:left w:val="none" w:sz="0" w:space="0" w:color="auto"/>
            <w:bottom w:val="none" w:sz="0" w:space="0" w:color="auto"/>
            <w:right w:val="none" w:sz="0" w:space="0" w:color="auto"/>
          </w:divBdr>
          <w:divsChild>
            <w:div w:id="260065536">
              <w:marLeft w:val="0"/>
              <w:marRight w:val="0"/>
              <w:marTop w:val="0"/>
              <w:marBottom w:val="0"/>
              <w:divBdr>
                <w:top w:val="none" w:sz="0" w:space="0" w:color="auto"/>
                <w:left w:val="none" w:sz="0" w:space="0" w:color="auto"/>
                <w:bottom w:val="none" w:sz="0" w:space="0" w:color="auto"/>
                <w:right w:val="none" w:sz="0" w:space="0" w:color="auto"/>
              </w:divBdr>
            </w:div>
          </w:divsChild>
        </w:div>
        <w:div w:id="482694631">
          <w:marLeft w:val="0"/>
          <w:marRight w:val="0"/>
          <w:marTop w:val="0"/>
          <w:marBottom w:val="0"/>
          <w:divBdr>
            <w:top w:val="none" w:sz="0" w:space="0" w:color="auto"/>
            <w:left w:val="none" w:sz="0" w:space="0" w:color="auto"/>
            <w:bottom w:val="none" w:sz="0" w:space="0" w:color="auto"/>
            <w:right w:val="none" w:sz="0" w:space="0" w:color="auto"/>
          </w:divBdr>
          <w:divsChild>
            <w:div w:id="2118132399">
              <w:marLeft w:val="0"/>
              <w:marRight w:val="0"/>
              <w:marTop w:val="0"/>
              <w:marBottom w:val="0"/>
              <w:divBdr>
                <w:top w:val="none" w:sz="0" w:space="0" w:color="auto"/>
                <w:left w:val="none" w:sz="0" w:space="0" w:color="auto"/>
                <w:bottom w:val="none" w:sz="0" w:space="0" w:color="auto"/>
                <w:right w:val="none" w:sz="0" w:space="0" w:color="auto"/>
              </w:divBdr>
            </w:div>
          </w:divsChild>
        </w:div>
        <w:div w:id="548538646">
          <w:marLeft w:val="0"/>
          <w:marRight w:val="0"/>
          <w:marTop w:val="0"/>
          <w:marBottom w:val="0"/>
          <w:divBdr>
            <w:top w:val="none" w:sz="0" w:space="0" w:color="auto"/>
            <w:left w:val="none" w:sz="0" w:space="0" w:color="auto"/>
            <w:bottom w:val="none" w:sz="0" w:space="0" w:color="auto"/>
            <w:right w:val="none" w:sz="0" w:space="0" w:color="auto"/>
          </w:divBdr>
          <w:divsChild>
            <w:div w:id="1501193451">
              <w:marLeft w:val="0"/>
              <w:marRight w:val="0"/>
              <w:marTop w:val="0"/>
              <w:marBottom w:val="0"/>
              <w:divBdr>
                <w:top w:val="none" w:sz="0" w:space="0" w:color="auto"/>
                <w:left w:val="none" w:sz="0" w:space="0" w:color="auto"/>
                <w:bottom w:val="none" w:sz="0" w:space="0" w:color="auto"/>
                <w:right w:val="none" w:sz="0" w:space="0" w:color="auto"/>
              </w:divBdr>
            </w:div>
          </w:divsChild>
        </w:div>
        <w:div w:id="561411681">
          <w:marLeft w:val="0"/>
          <w:marRight w:val="0"/>
          <w:marTop w:val="0"/>
          <w:marBottom w:val="0"/>
          <w:divBdr>
            <w:top w:val="none" w:sz="0" w:space="0" w:color="auto"/>
            <w:left w:val="none" w:sz="0" w:space="0" w:color="auto"/>
            <w:bottom w:val="none" w:sz="0" w:space="0" w:color="auto"/>
            <w:right w:val="none" w:sz="0" w:space="0" w:color="auto"/>
          </w:divBdr>
          <w:divsChild>
            <w:div w:id="1010333422">
              <w:marLeft w:val="0"/>
              <w:marRight w:val="0"/>
              <w:marTop w:val="0"/>
              <w:marBottom w:val="0"/>
              <w:divBdr>
                <w:top w:val="none" w:sz="0" w:space="0" w:color="auto"/>
                <w:left w:val="none" w:sz="0" w:space="0" w:color="auto"/>
                <w:bottom w:val="none" w:sz="0" w:space="0" w:color="auto"/>
                <w:right w:val="none" w:sz="0" w:space="0" w:color="auto"/>
              </w:divBdr>
            </w:div>
          </w:divsChild>
        </w:div>
        <w:div w:id="570389752">
          <w:marLeft w:val="0"/>
          <w:marRight w:val="0"/>
          <w:marTop w:val="0"/>
          <w:marBottom w:val="0"/>
          <w:divBdr>
            <w:top w:val="none" w:sz="0" w:space="0" w:color="auto"/>
            <w:left w:val="none" w:sz="0" w:space="0" w:color="auto"/>
            <w:bottom w:val="none" w:sz="0" w:space="0" w:color="auto"/>
            <w:right w:val="none" w:sz="0" w:space="0" w:color="auto"/>
          </w:divBdr>
          <w:divsChild>
            <w:div w:id="1031110445">
              <w:marLeft w:val="0"/>
              <w:marRight w:val="0"/>
              <w:marTop w:val="0"/>
              <w:marBottom w:val="0"/>
              <w:divBdr>
                <w:top w:val="none" w:sz="0" w:space="0" w:color="auto"/>
                <w:left w:val="none" w:sz="0" w:space="0" w:color="auto"/>
                <w:bottom w:val="none" w:sz="0" w:space="0" w:color="auto"/>
                <w:right w:val="none" w:sz="0" w:space="0" w:color="auto"/>
              </w:divBdr>
            </w:div>
          </w:divsChild>
        </w:div>
        <w:div w:id="585112724">
          <w:marLeft w:val="0"/>
          <w:marRight w:val="0"/>
          <w:marTop w:val="0"/>
          <w:marBottom w:val="0"/>
          <w:divBdr>
            <w:top w:val="none" w:sz="0" w:space="0" w:color="auto"/>
            <w:left w:val="none" w:sz="0" w:space="0" w:color="auto"/>
            <w:bottom w:val="none" w:sz="0" w:space="0" w:color="auto"/>
            <w:right w:val="none" w:sz="0" w:space="0" w:color="auto"/>
          </w:divBdr>
          <w:divsChild>
            <w:div w:id="506021700">
              <w:marLeft w:val="0"/>
              <w:marRight w:val="0"/>
              <w:marTop w:val="0"/>
              <w:marBottom w:val="0"/>
              <w:divBdr>
                <w:top w:val="none" w:sz="0" w:space="0" w:color="auto"/>
                <w:left w:val="none" w:sz="0" w:space="0" w:color="auto"/>
                <w:bottom w:val="none" w:sz="0" w:space="0" w:color="auto"/>
                <w:right w:val="none" w:sz="0" w:space="0" w:color="auto"/>
              </w:divBdr>
            </w:div>
          </w:divsChild>
        </w:div>
        <w:div w:id="591664805">
          <w:marLeft w:val="0"/>
          <w:marRight w:val="0"/>
          <w:marTop w:val="0"/>
          <w:marBottom w:val="0"/>
          <w:divBdr>
            <w:top w:val="none" w:sz="0" w:space="0" w:color="auto"/>
            <w:left w:val="none" w:sz="0" w:space="0" w:color="auto"/>
            <w:bottom w:val="none" w:sz="0" w:space="0" w:color="auto"/>
            <w:right w:val="none" w:sz="0" w:space="0" w:color="auto"/>
          </w:divBdr>
          <w:divsChild>
            <w:div w:id="549150487">
              <w:marLeft w:val="0"/>
              <w:marRight w:val="0"/>
              <w:marTop w:val="0"/>
              <w:marBottom w:val="0"/>
              <w:divBdr>
                <w:top w:val="none" w:sz="0" w:space="0" w:color="auto"/>
                <w:left w:val="none" w:sz="0" w:space="0" w:color="auto"/>
                <w:bottom w:val="none" w:sz="0" w:space="0" w:color="auto"/>
                <w:right w:val="none" w:sz="0" w:space="0" w:color="auto"/>
              </w:divBdr>
            </w:div>
          </w:divsChild>
        </w:div>
        <w:div w:id="599724116">
          <w:marLeft w:val="0"/>
          <w:marRight w:val="0"/>
          <w:marTop w:val="0"/>
          <w:marBottom w:val="0"/>
          <w:divBdr>
            <w:top w:val="none" w:sz="0" w:space="0" w:color="auto"/>
            <w:left w:val="none" w:sz="0" w:space="0" w:color="auto"/>
            <w:bottom w:val="none" w:sz="0" w:space="0" w:color="auto"/>
            <w:right w:val="none" w:sz="0" w:space="0" w:color="auto"/>
          </w:divBdr>
          <w:divsChild>
            <w:div w:id="1744722354">
              <w:marLeft w:val="0"/>
              <w:marRight w:val="0"/>
              <w:marTop w:val="0"/>
              <w:marBottom w:val="0"/>
              <w:divBdr>
                <w:top w:val="none" w:sz="0" w:space="0" w:color="auto"/>
                <w:left w:val="none" w:sz="0" w:space="0" w:color="auto"/>
                <w:bottom w:val="none" w:sz="0" w:space="0" w:color="auto"/>
                <w:right w:val="none" w:sz="0" w:space="0" w:color="auto"/>
              </w:divBdr>
            </w:div>
          </w:divsChild>
        </w:div>
        <w:div w:id="615062296">
          <w:marLeft w:val="0"/>
          <w:marRight w:val="0"/>
          <w:marTop w:val="0"/>
          <w:marBottom w:val="0"/>
          <w:divBdr>
            <w:top w:val="none" w:sz="0" w:space="0" w:color="auto"/>
            <w:left w:val="none" w:sz="0" w:space="0" w:color="auto"/>
            <w:bottom w:val="none" w:sz="0" w:space="0" w:color="auto"/>
            <w:right w:val="none" w:sz="0" w:space="0" w:color="auto"/>
          </w:divBdr>
          <w:divsChild>
            <w:div w:id="1784643203">
              <w:marLeft w:val="0"/>
              <w:marRight w:val="0"/>
              <w:marTop w:val="0"/>
              <w:marBottom w:val="0"/>
              <w:divBdr>
                <w:top w:val="none" w:sz="0" w:space="0" w:color="auto"/>
                <w:left w:val="none" w:sz="0" w:space="0" w:color="auto"/>
                <w:bottom w:val="none" w:sz="0" w:space="0" w:color="auto"/>
                <w:right w:val="none" w:sz="0" w:space="0" w:color="auto"/>
              </w:divBdr>
            </w:div>
          </w:divsChild>
        </w:div>
        <w:div w:id="627931127">
          <w:marLeft w:val="0"/>
          <w:marRight w:val="0"/>
          <w:marTop w:val="0"/>
          <w:marBottom w:val="0"/>
          <w:divBdr>
            <w:top w:val="none" w:sz="0" w:space="0" w:color="auto"/>
            <w:left w:val="none" w:sz="0" w:space="0" w:color="auto"/>
            <w:bottom w:val="none" w:sz="0" w:space="0" w:color="auto"/>
            <w:right w:val="none" w:sz="0" w:space="0" w:color="auto"/>
          </w:divBdr>
          <w:divsChild>
            <w:div w:id="333800663">
              <w:marLeft w:val="0"/>
              <w:marRight w:val="0"/>
              <w:marTop w:val="0"/>
              <w:marBottom w:val="0"/>
              <w:divBdr>
                <w:top w:val="none" w:sz="0" w:space="0" w:color="auto"/>
                <w:left w:val="none" w:sz="0" w:space="0" w:color="auto"/>
                <w:bottom w:val="none" w:sz="0" w:space="0" w:color="auto"/>
                <w:right w:val="none" w:sz="0" w:space="0" w:color="auto"/>
              </w:divBdr>
            </w:div>
          </w:divsChild>
        </w:div>
        <w:div w:id="651297899">
          <w:marLeft w:val="0"/>
          <w:marRight w:val="0"/>
          <w:marTop w:val="0"/>
          <w:marBottom w:val="0"/>
          <w:divBdr>
            <w:top w:val="none" w:sz="0" w:space="0" w:color="auto"/>
            <w:left w:val="none" w:sz="0" w:space="0" w:color="auto"/>
            <w:bottom w:val="none" w:sz="0" w:space="0" w:color="auto"/>
            <w:right w:val="none" w:sz="0" w:space="0" w:color="auto"/>
          </w:divBdr>
          <w:divsChild>
            <w:div w:id="726220038">
              <w:marLeft w:val="0"/>
              <w:marRight w:val="0"/>
              <w:marTop w:val="0"/>
              <w:marBottom w:val="0"/>
              <w:divBdr>
                <w:top w:val="none" w:sz="0" w:space="0" w:color="auto"/>
                <w:left w:val="none" w:sz="0" w:space="0" w:color="auto"/>
                <w:bottom w:val="none" w:sz="0" w:space="0" w:color="auto"/>
                <w:right w:val="none" w:sz="0" w:space="0" w:color="auto"/>
              </w:divBdr>
            </w:div>
          </w:divsChild>
        </w:div>
        <w:div w:id="682635338">
          <w:marLeft w:val="0"/>
          <w:marRight w:val="0"/>
          <w:marTop w:val="0"/>
          <w:marBottom w:val="0"/>
          <w:divBdr>
            <w:top w:val="none" w:sz="0" w:space="0" w:color="auto"/>
            <w:left w:val="none" w:sz="0" w:space="0" w:color="auto"/>
            <w:bottom w:val="none" w:sz="0" w:space="0" w:color="auto"/>
            <w:right w:val="none" w:sz="0" w:space="0" w:color="auto"/>
          </w:divBdr>
          <w:divsChild>
            <w:div w:id="1059133025">
              <w:marLeft w:val="0"/>
              <w:marRight w:val="0"/>
              <w:marTop w:val="0"/>
              <w:marBottom w:val="0"/>
              <w:divBdr>
                <w:top w:val="none" w:sz="0" w:space="0" w:color="auto"/>
                <w:left w:val="none" w:sz="0" w:space="0" w:color="auto"/>
                <w:bottom w:val="none" w:sz="0" w:space="0" w:color="auto"/>
                <w:right w:val="none" w:sz="0" w:space="0" w:color="auto"/>
              </w:divBdr>
            </w:div>
          </w:divsChild>
        </w:div>
        <w:div w:id="691809560">
          <w:marLeft w:val="0"/>
          <w:marRight w:val="0"/>
          <w:marTop w:val="0"/>
          <w:marBottom w:val="0"/>
          <w:divBdr>
            <w:top w:val="none" w:sz="0" w:space="0" w:color="auto"/>
            <w:left w:val="none" w:sz="0" w:space="0" w:color="auto"/>
            <w:bottom w:val="none" w:sz="0" w:space="0" w:color="auto"/>
            <w:right w:val="none" w:sz="0" w:space="0" w:color="auto"/>
          </w:divBdr>
          <w:divsChild>
            <w:div w:id="1892033743">
              <w:marLeft w:val="0"/>
              <w:marRight w:val="0"/>
              <w:marTop w:val="0"/>
              <w:marBottom w:val="0"/>
              <w:divBdr>
                <w:top w:val="none" w:sz="0" w:space="0" w:color="auto"/>
                <w:left w:val="none" w:sz="0" w:space="0" w:color="auto"/>
                <w:bottom w:val="none" w:sz="0" w:space="0" w:color="auto"/>
                <w:right w:val="none" w:sz="0" w:space="0" w:color="auto"/>
              </w:divBdr>
            </w:div>
          </w:divsChild>
        </w:div>
        <w:div w:id="715204916">
          <w:marLeft w:val="0"/>
          <w:marRight w:val="0"/>
          <w:marTop w:val="0"/>
          <w:marBottom w:val="0"/>
          <w:divBdr>
            <w:top w:val="none" w:sz="0" w:space="0" w:color="auto"/>
            <w:left w:val="none" w:sz="0" w:space="0" w:color="auto"/>
            <w:bottom w:val="none" w:sz="0" w:space="0" w:color="auto"/>
            <w:right w:val="none" w:sz="0" w:space="0" w:color="auto"/>
          </w:divBdr>
          <w:divsChild>
            <w:div w:id="394593895">
              <w:marLeft w:val="0"/>
              <w:marRight w:val="0"/>
              <w:marTop w:val="0"/>
              <w:marBottom w:val="0"/>
              <w:divBdr>
                <w:top w:val="none" w:sz="0" w:space="0" w:color="auto"/>
                <w:left w:val="none" w:sz="0" w:space="0" w:color="auto"/>
                <w:bottom w:val="none" w:sz="0" w:space="0" w:color="auto"/>
                <w:right w:val="none" w:sz="0" w:space="0" w:color="auto"/>
              </w:divBdr>
            </w:div>
          </w:divsChild>
        </w:div>
        <w:div w:id="726295033">
          <w:marLeft w:val="0"/>
          <w:marRight w:val="0"/>
          <w:marTop w:val="0"/>
          <w:marBottom w:val="0"/>
          <w:divBdr>
            <w:top w:val="none" w:sz="0" w:space="0" w:color="auto"/>
            <w:left w:val="none" w:sz="0" w:space="0" w:color="auto"/>
            <w:bottom w:val="none" w:sz="0" w:space="0" w:color="auto"/>
            <w:right w:val="none" w:sz="0" w:space="0" w:color="auto"/>
          </w:divBdr>
          <w:divsChild>
            <w:div w:id="1802965651">
              <w:marLeft w:val="0"/>
              <w:marRight w:val="0"/>
              <w:marTop w:val="0"/>
              <w:marBottom w:val="0"/>
              <w:divBdr>
                <w:top w:val="none" w:sz="0" w:space="0" w:color="auto"/>
                <w:left w:val="none" w:sz="0" w:space="0" w:color="auto"/>
                <w:bottom w:val="none" w:sz="0" w:space="0" w:color="auto"/>
                <w:right w:val="none" w:sz="0" w:space="0" w:color="auto"/>
              </w:divBdr>
            </w:div>
          </w:divsChild>
        </w:div>
        <w:div w:id="761799957">
          <w:marLeft w:val="0"/>
          <w:marRight w:val="0"/>
          <w:marTop w:val="0"/>
          <w:marBottom w:val="0"/>
          <w:divBdr>
            <w:top w:val="none" w:sz="0" w:space="0" w:color="auto"/>
            <w:left w:val="none" w:sz="0" w:space="0" w:color="auto"/>
            <w:bottom w:val="none" w:sz="0" w:space="0" w:color="auto"/>
            <w:right w:val="none" w:sz="0" w:space="0" w:color="auto"/>
          </w:divBdr>
          <w:divsChild>
            <w:div w:id="1425224722">
              <w:marLeft w:val="0"/>
              <w:marRight w:val="0"/>
              <w:marTop w:val="0"/>
              <w:marBottom w:val="0"/>
              <w:divBdr>
                <w:top w:val="none" w:sz="0" w:space="0" w:color="auto"/>
                <w:left w:val="none" w:sz="0" w:space="0" w:color="auto"/>
                <w:bottom w:val="none" w:sz="0" w:space="0" w:color="auto"/>
                <w:right w:val="none" w:sz="0" w:space="0" w:color="auto"/>
              </w:divBdr>
            </w:div>
          </w:divsChild>
        </w:div>
        <w:div w:id="773330339">
          <w:marLeft w:val="0"/>
          <w:marRight w:val="0"/>
          <w:marTop w:val="0"/>
          <w:marBottom w:val="0"/>
          <w:divBdr>
            <w:top w:val="none" w:sz="0" w:space="0" w:color="auto"/>
            <w:left w:val="none" w:sz="0" w:space="0" w:color="auto"/>
            <w:bottom w:val="none" w:sz="0" w:space="0" w:color="auto"/>
            <w:right w:val="none" w:sz="0" w:space="0" w:color="auto"/>
          </w:divBdr>
          <w:divsChild>
            <w:div w:id="470099975">
              <w:marLeft w:val="0"/>
              <w:marRight w:val="0"/>
              <w:marTop w:val="0"/>
              <w:marBottom w:val="0"/>
              <w:divBdr>
                <w:top w:val="none" w:sz="0" w:space="0" w:color="auto"/>
                <w:left w:val="none" w:sz="0" w:space="0" w:color="auto"/>
                <w:bottom w:val="none" w:sz="0" w:space="0" w:color="auto"/>
                <w:right w:val="none" w:sz="0" w:space="0" w:color="auto"/>
              </w:divBdr>
            </w:div>
          </w:divsChild>
        </w:div>
        <w:div w:id="783156967">
          <w:marLeft w:val="0"/>
          <w:marRight w:val="0"/>
          <w:marTop w:val="0"/>
          <w:marBottom w:val="0"/>
          <w:divBdr>
            <w:top w:val="none" w:sz="0" w:space="0" w:color="auto"/>
            <w:left w:val="none" w:sz="0" w:space="0" w:color="auto"/>
            <w:bottom w:val="none" w:sz="0" w:space="0" w:color="auto"/>
            <w:right w:val="none" w:sz="0" w:space="0" w:color="auto"/>
          </w:divBdr>
          <w:divsChild>
            <w:div w:id="328872658">
              <w:marLeft w:val="0"/>
              <w:marRight w:val="0"/>
              <w:marTop w:val="0"/>
              <w:marBottom w:val="0"/>
              <w:divBdr>
                <w:top w:val="none" w:sz="0" w:space="0" w:color="auto"/>
                <w:left w:val="none" w:sz="0" w:space="0" w:color="auto"/>
                <w:bottom w:val="none" w:sz="0" w:space="0" w:color="auto"/>
                <w:right w:val="none" w:sz="0" w:space="0" w:color="auto"/>
              </w:divBdr>
            </w:div>
          </w:divsChild>
        </w:div>
        <w:div w:id="799877679">
          <w:marLeft w:val="0"/>
          <w:marRight w:val="0"/>
          <w:marTop w:val="0"/>
          <w:marBottom w:val="0"/>
          <w:divBdr>
            <w:top w:val="none" w:sz="0" w:space="0" w:color="auto"/>
            <w:left w:val="none" w:sz="0" w:space="0" w:color="auto"/>
            <w:bottom w:val="none" w:sz="0" w:space="0" w:color="auto"/>
            <w:right w:val="none" w:sz="0" w:space="0" w:color="auto"/>
          </w:divBdr>
          <w:divsChild>
            <w:div w:id="1241058443">
              <w:marLeft w:val="0"/>
              <w:marRight w:val="0"/>
              <w:marTop w:val="0"/>
              <w:marBottom w:val="0"/>
              <w:divBdr>
                <w:top w:val="none" w:sz="0" w:space="0" w:color="auto"/>
                <w:left w:val="none" w:sz="0" w:space="0" w:color="auto"/>
                <w:bottom w:val="none" w:sz="0" w:space="0" w:color="auto"/>
                <w:right w:val="none" w:sz="0" w:space="0" w:color="auto"/>
              </w:divBdr>
            </w:div>
          </w:divsChild>
        </w:div>
        <w:div w:id="811485104">
          <w:marLeft w:val="0"/>
          <w:marRight w:val="0"/>
          <w:marTop w:val="0"/>
          <w:marBottom w:val="0"/>
          <w:divBdr>
            <w:top w:val="none" w:sz="0" w:space="0" w:color="auto"/>
            <w:left w:val="none" w:sz="0" w:space="0" w:color="auto"/>
            <w:bottom w:val="none" w:sz="0" w:space="0" w:color="auto"/>
            <w:right w:val="none" w:sz="0" w:space="0" w:color="auto"/>
          </w:divBdr>
          <w:divsChild>
            <w:div w:id="708263494">
              <w:marLeft w:val="0"/>
              <w:marRight w:val="0"/>
              <w:marTop w:val="0"/>
              <w:marBottom w:val="0"/>
              <w:divBdr>
                <w:top w:val="none" w:sz="0" w:space="0" w:color="auto"/>
                <w:left w:val="none" w:sz="0" w:space="0" w:color="auto"/>
                <w:bottom w:val="none" w:sz="0" w:space="0" w:color="auto"/>
                <w:right w:val="none" w:sz="0" w:space="0" w:color="auto"/>
              </w:divBdr>
            </w:div>
          </w:divsChild>
        </w:div>
        <w:div w:id="872888736">
          <w:marLeft w:val="0"/>
          <w:marRight w:val="0"/>
          <w:marTop w:val="0"/>
          <w:marBottom w:val="0"/>
          <w:divBdr>
            <w:top w:val="none" w:sz="0" w:space="0" w:color="auto"/>
            <w:left w:val="none" w:sz="0" w:space="0" w:color="auto"/>
            <w:bottom w:val="none" w:sz="0" w:space="0" w:color="auto"/>
            <w:right w:val="none" w:sz="0" w:space="0" w:color="auto"/>
          </w:divBdr>
          <w:divsChild>
            <w:div w:id="192884057">
              <w:marLeft w:val="0"/>
              <w:marRight w:val="0"/>
              <w:marTop w:val="0"/>
              <w:marBottom w:val="0"/>
              <w:divBdr>
                <w:top w:val="none" w:sz="0" w:space="0" w:color="auto"/>
                <w:left w:val="none" w:sz="0" w:space="0" w:color="auto"/>
                <w:bottom w:val="none" w:sz="0" w:space="0" w:color="auto"/>
                <w:right w:val="none" w:sz="0" w:space="0" w:color="auto"/>
              </w:divBdr>
            </w:div>
          </w:divsChild>
        </w:div>
        <w:div w:id="889731362">
          <w:marLeft w:val="0"/>
          <w:marRight w:val="0"/>
          <w:marTop w:val="0"/>
          <w:marBottom w:val="0"/>
          <w:divBdr>
            <w:top w:val="none" w:sz="0" w:space="0" w:color="auto"/>
            <w:left w:val="none" w:sz="0" w:space="0" w:color="auto"/>
            <w:bottom w:val="none" w:sz="0" w:space="0" w:color="auto"/>
            <w:right w:val="none" w:sz="0" w:space="0" w:color="auto"/>
          </w:divBdr>
          <w:divsChild>
            <w:div w:id="1182088464">
              <w:marLeft w:val="0"/>
              <w:marRight w:val="0"/>
              <w:marTop w:val="0"/>
              <w:marBottom w:val="0"/>
              <w:divBdr>
                <w:top w:val="none" w:sz="0" w:space="0" w:color="auto"/>
                <w:left w:val="none" w:sz="0" w:space="0" w:color="auto"/>
                <w:bottom w:val="none" w:sz="0" w:space="0" w:color="auto"/>
                <w:right w:val="none" w:sz="0" w:space="0" w:color="auto"/>
              </w:divBdr>
            </w:div>
          </w:divsChild>
        </w:div>
        <w:div w:id="922376955">
          <w:marLeft w:val="0"/>
          <w:marRight w:val="0"/>
          <w:marTop w:val="0"/>
          <w:marBottom w:val="0"/>
          <w:divBdr>
            <w:top w:val="none" w:sz="0" w:space="0" w:color="auto"/>
            <w:left w:val="none" w:sz="0" w:space="0" w:color="auto"/>
            <w:bottom w:val="none" w:sz="0" w:space="0" w:color="auto"/>
            <w:right w:val="none" w:sz="0" w:space="0" w:color="auto"/>
          </w:divBdr>
          <w:divsChild>
            <w:div w:id="1246500420">
              <w:marLeft w:val="0"/>
              <w:marRight w:val="0"/>
              <w:marTop w:val="0"/>
              <w:marBottom w:val="0"/>
              <w:divBdr>
                <w:top w:val="none" w:sz="0" w:space="0" w:color="auto"/>
                <w:left w:val="none" w:sz="0" w:space="0" w:color="auto"/>
                <w:bottom w:val="none" w:sz="0" w:space="0" w:color="auto"/>
                <w:right w:val="none" w:sz="0" w:space="0" w:color="auto"/>
              </w:divBdr>
            </w:div>
          </w:divsChild>
        </w:div>
        <w:div w:id="924190329">
          <w:marLeft w:val="0"/>
          <w:marRight w:val="0"/>
          <w:marTop w:val="0"/>
          <w:marBottom w:val="0"/>
          <w:divBdr>
            <w:top w:val="none" w:sz="0" w:space="0" w:color="auto"/>
            <w:left w:val="none" w:sz="0" w:space="0" w:color="auto"/>
            <w:bottom w:val="none" w:sz="0" w:space="0" w:color="auto"/>
            <w:right w:val="none" w:sz="0" w:space="0" w:color="auto"/>
          </w:divBdr>
          <w:divsChild>
            <w:div w:id="330642700">
              <w:marLeft w:val="0"/>
              <w:marRight w:val="0"/>
              <w:marTop w:val="0"/>
              <w:marBottom w:val="0"/>
              <w:divBdr>
                <w:top w:val="none" w:sz="0" w:space="0" w:color="auto"/>
                <w:left w:val="none" w:sz="0" w:space="0" w:color="auto"/>
                <w:bottom w:val="none" w:sz="0" w:space="0" w:color="auto"/>
                <w:right w:val="none" w:sz="0" w:space="0" w:color="auto"/>
              </w:divBdr>
            </w:div>
          </w:divsChild>
        </w:div>
        <w:div w:id="933392455">
          <w:marLeft w:val="0"/>
          <w:marRight w:val="0"/>
          <w:marTop w:val="0"/>
          <w:marBottom w:val="0"/>
          <w:divBdr>
            <w:top w:val="none" w:sz="0" w:space="0" w:color="auto"/>
            <w:left w:val="none" w:sz="0" w:space="0" w:color="auto"/>
            <w:bottom w:val="none" w:sz="0" w:space="0" w:color="auto"/>
            <w:right w:val="none" w:sz="0" w:space="0" w:color="auto"/>
          </w:divBdr>
          <w:divsChild>
            <w:div w:id="1607957237">
              <w:marLeft w:val="0"/>
              <w:marRight w:val="0"/>
              <w:marTop w:val="0"/>
              <w:marBottom w:val="0"/>
              <w:divBdr>
                <w:top w:val="none" w:sz="0" w:space="0" w:color="auto"/>
                <w:left w:val="none" w:sz="0" w:space="0" w:color="auto"/>
                <w:bottom w:val="none" w:sz="0" w:space="0" w:color="auto"/>
                <w:right w:val="none" w:sz="0" w:space="0" w:color="auto"/>
              </w:divBdr>
            </w:div>
          </w:divsChild>
        </w:div>
        <w:div w:id="934245898">
          <w:marLeft w:val="0"/>
          <w:marRight w:val="0"/>
          <w:marTop w:val="0"/>
          <w:marBottom w:val="0"/>
          <w:divBdr>
            <w:top w:val="none" w:sz="0" w:space="0" w:color="auto"/>
            <w:left w:val="none" w:sz="0" w:space="0" w:color="auto"/>
            <w:bottom w:val="none" w:sz="0" w:space="0" w:color="auto"/>
            <w:right w:val="none" w:sz="0" w:space="0" w:color="auto"/>
          </w:divBdr>
          <w:divsChild>
            <w:div w:id="803698351">
              <w:marLeft w:val="0"/>
              <w:marRight w:val="0"/>
              <w:marTop w:val="0"/>
              <w:marBottom w:val="0"/>
              <w:divBdr>
                <w:top w:val="none" w:sz="0" w:space="0" w:color="auto"/>
                <w:left w:val="none" w:sz="0" w:space="0" w:color="auto"/>
                <w:bottom w:val="none" w:sz="0" w:space="0" w:color="auto"/>
                <w:right w:val="none" w:sz="0" w:space="0" w:color="auto"/>
              </w:divBdr>
            </w:div>
          </w:divsChild>
        </w:div>
        <w:div w:id="977957309">
          <w:marLeft w:val="0"/>
          <w:marRight w:val="0"/>
          <w:marTop w:val="0"/>
          <w:marBottom w:val="0"/>
          <w:divBdr>
            <w:top w:val="none" w:sz="0" w:space="0" w:color="auto"/>
            <w:left w:val="none" w:sz="0" w:space="0" w:color="auto"/>
            <w:bottom w:val="none" w:sz="0" w:space="0" w:color="auto"/>
            <w:right w:val="none" w:sz="0" w:space="0" w:color="auto"/>
          </w:divBdr>
          <w:divsChild>
            <w:div w:id="568271616">
              <w:marLeft w:val="0"/>
              <w:marRight w:val="0"/>
              <w:marTop w:val="0"/>
              <w:marBottom w:val="0"/>
              <w:divBdr>
                <w:top w:val="none" w:sz="0" w:space="0" w:color="auto"/>
                <w:left w:val="none" w:sz="0" w:space="0" w:color="auto"/>
                <w:bottom w:val="none" w:sz="0" w:space="0" w:color="auto"/>
                <w:right w:val="none" w:sz="0" w:space="0" w:color="auto"/>
              </w:divBdr>
            </w:div>
          </w:divsChild>
        </w:div>
        <w:div w:id="983041622">
          <w:marLeft w:val="0"/>
          <w:marRight w:val="0"/>
          <w:marTop w:val="0"/>
          <w:marBottom w:val="0"/>
          <w:divBdr>
            <w:top w:val="none" w:sz="0" w:space="0" w:color="auto"/>
            <w:left w:val="none" w:sz="0" w:space="0" w:color="auto"/>
            <w:bottom w:val="none" w:sz="0" w:space="0" w:color="auto"/>
            <w:right w:val="none" w:sz="0" w:space="0" w:color="auto"/>
          </w:divBdr>
          <w:divsChild>
            <w:div w:id="323357334">
              <w:marLeft w:val="0"/>
              <w:marRight w:val="0"/>
              <w:marTop w:val="0"/>
              <w:marBottom w:val="0"/>
              <w:divBdr>
                <w:top w:val="none" w:sz="0" w:space="0" w:color="auto"/>
                <w:left w:val="none" w:sz="0" w:space="0" w:color="auto"/>
                <w:bottom w:val="none" w:sz="0" w:space="0" w:color="auto"/>
                <w:right w:val="none" w:sz="0" w:space="0" w:color="auto"/>
              </w:divBdr>
            </w:div>
          </w:divsChild>
        </w:div>
        <w:div w:id="989333815">
          <w:marLeft w:val="0"/>
          <w:marRight w:val="0"/>
          <w:marTop w:val="0"/>
          <w:marBottom w:val="0"/>
          <w:divBdr>
            <w:top w:val="none" w:sz="0" w:space="0" w:color="auto"/>
            <w:left w:val="none" w:sz="0" w:space="0" w:color="auto"/>
            <w:bottom w:val="none" w:sz="0" w:space="0" w:color="auto"/>
            <w:right w:val="none" w:sz="0" w:space="0" w:color="auto"/>
          </w:divBdr>
          <w:divsChild>
            <w:div w:id="1285818060">
              <w:marLeft w:val="0"/>
              <w:marRight w:val="0"/>
              <w:marTop w:val="0"/>
              <w:marBottom w:val="0"/>
              <w:divBdr>
                <w:top w:val="none" w:sz="0" w:space="0" w:color="auto"/>
                <w:left w:val="none" w:sz="0" w:space="0" w:color="auto"/>
                <w:bottom w:val="none" w:sz="0" w:space="0" w:color="auto"/>
                <w:right w:val="none" w:sz="0" w:space="0" w:color="auto"/>
              </w:divBdr>
            </w:div>
          </w:divsChild>
        </w:div>
        <w:div w:id="1010597317">
          <w:marLeft w:val="0"/>
          <w:marRight w:val="0"/>
          <w:marTop w:val="0"/>
          <w:marBottom w:val="0"/>
          <w:divBdr>
            <w:top w:val="none" w:sz="0" w:space="0" w:color="auto"/>
            <w:left w:val="none" w:sz="0" w:space="0" w:color="auto"/>
            <w:bottom w:val="none" w:sz="0" w:space="0" w:color="auto"/>
            <w:right w:val="none" w:sz="0" w:space="0" w:color="auto"/>
          </w:divBdr>
          <w:divsChild>
            <w:div w:id="1516726448">
              <w:marLeft w:val="0"/>
              <w:marRight w:val="0"/>
              <w:marTop w:val="0"/>
              <w:marBottom w:val="0"/>
              <w:divBdr>
                <w:top w:val="none" w:sz="0" w:space="0" w:color="auto"/>
                <w:left w:val="none" w:sz="0" w:space="0" w:color="auto"/>
                <w:bottom w:val="none" w:sz="0" w:space="0" w:color="auto"/>
                <w:right w:val="none" w:sz="0" w:space="0" w:color="auto"/>
              </w:divBdr>
            </w:div>
          </w:divsChild>
        </w:div>
        <w:div w:id="1042703852">
          <w:marLeft w:val="0"/>
          <w:marRight w:val="0"/>
          <w:marTop w:val="0"/>
          <w:marBottom w:val="0"/>
          <w:divBdr>
            <w:top w:val="none" w:sz="0" w:space="0" w:color="auto"/>
            <w:left w:val="none" w:sz="0" w:space="0" w:color="auto"/>
            <w:bottom w:val="none" w:sz="0" w:space="0" w:color="auto"/>
            <w:right w:val="none" w:sz="0" w:space="0" w:color="auto"/>
          </w:divBdr>
          <w:divsChild>
            <w:div w:id="161822208">
              <w:marLeft w:val="0"/>
              <w:marRight w:val="0"/>
              <w:marTop w:val="0"/>
              <w:marBottom w:val="0"/>
              <w:divBdr>
                <w:top w:val="none" w:sz="0" w:space="0" w:color="auto"/>
                <w:left w:val="none" w:sz="0" w:space="0" w:color="auto"/>
                <w:bottom w:val="none" w:sz="0" w:space="0" w:color="auto"/>
                <w:right w:val="none" w:sz="0" w:space="0" w:color="auto"/>
              </w:divBdr>
            </w:div>
          </w:divsChild>
        </w:div>
        <w:div w:id="1044599214">
          <w:marLeft w:val="0"/>
          <w:marRight w:val="0"/>
          <w:marTop w:val="0"/>
          <w:marBottom w:val="0"/>
          <w:divBdr>
            <w:top w:val="none" w:sz="0" w:space="0" w:color="auto"/>
            <w:left w:val="none" w:sz="0" w:space="0" w:color="auto"/>
            <w:bottom w:val="none" w:sz="0" w:space="0" w:color="auto"/>
            <w:right w:val="none" w:sz="0" w:space="0" w:color="auto"/>
          </w:divBdr>
          <w:divsChild>
            <w:div w:id="286668308">
              <w:marLeft w:val="0"/>
              <w:marRight w:val="0"/>
              <w:marTop w:val="0"/>
              <w:marBottom w:val="0"/>
              <w:divBdr>
                <w:top w:val="none" w:sz="0" w:space="0" w:color="auto"/>
                <w:left w:val="none" w:sz="0" w:space="0" w:color="auto"/>
                <w:bottom w:val="none" w:sz="0" w:space="0" w:color="auto"/>
                <w:right w:val="none" w:sz="0" w:space="0" w:color="auto"/>
              </w:divBdr>
            </w:div>
          </w:divsChild>
        </w:div>
        <w:div w:id="1051806499">
          <w:marLeft w:val="0"/>
          <w:marRight w:val="0"/>
          <w:marTop w:val="0"/>
          <w:marBottom w:val="0"/>
          <w:divBdr>
            <w:top w:val="none" w:sz="0" w:space="0" w:color="auto"/>
            <w:left w:val="none" w:sz="0" w:space="0" w:color="auto"/>
            <w:bottom w:val="none" w:sz="0" w:space="0" w:color="auto"/>
            <w:right w:val="none" w:sz="0" w:space="0" w:color="auto"/>
          </w:divBdr>
          <w:divsChild>
            <w:div w:id="577321990">
              <w:marLeft w:val="0"/>
              <w:marRight w:val="0"/>
              <w:marTop w:val="0"/>
              <w:marBottom w:val="0"/>
              <w:divBdr>
                <w:top w:val="none" w:sz="0" w:space="0" w:color="auto"/>
                <w:left w:val="none" w:sz="0" w:space="0" w:color="auto"/>
                <w:bottom w:val="none" w:sz="0" w:space="0" w:color="auto"/>
                <w:right w:val="none" w:sz="0" w:space="0" w:color="auto"/>
              </w:divBdr>
            </w:div>
          </w:divsChild>
        </w:div>
        <w:div w:id="1077509020">
          <w:marLeft w:val="0"/>
          <w:marRight w:val="0"/>
          <w:marTop w:val="0"/>
          <w:marBottom w:val="0"/>
          <w:divBdr>
            <w:top w:val="none" w:sz="0" w:space="0" w:color="auto"/>
            <w:left w:val="none" w:sz="0" w:space="0" w:color="auto"/>
            <w:bottom w:val="none" w:sz="0" w:space="0" w:color="auto"/>
            <w:right w:val="none" w:sz="0" w:space="0" w:color="auto"/>
          </w:divBdr>
          <w:divsChild>
            <w:div w:id="758139968">
              <w:marLeft w:val="0"/>
              <w:marRight w:val="0"/>
              <w:marTop w:val="0"/>
              <w:marBottom w:val="0"/>
              <w:divBdr>
                <w:top w:val="none" w:sz="0" w:space="0" w:color="auto"/>
                <w:left w:val="none" w:sz="0" w:space="0" w:color="auto"/>
                <w:bottom w:val="none" w:sz="0" w:space="0" w:color="auto"/>
                <w:right w:val="none" w:sz="0" w:space="0" w:color="auto"/>
              </w:divBdr>
            </w:div>
          </w:divsChild>
        </w:div>
        <w:div w:id="1080829587">
          <w:marLeft w:val="0"/>
          <w:marRight w:val="0"/>
          <w:marTop w:val="0"/>
          <w:marBottom w:val="0"/>
          <w:divBdr>
            <w:top w:val="none" w:sz="0" w:space="0" w:color="auto"/>
            <w:left w:val="none" w:sz="0" w:space="0" w:color="auto"/>
            <w:bottom w:val="none" w:sz="0" w:space="0" w:color="auto"/>
            <w:right w:val="none" w:sz="0" w:space="0" w:color="auto"/>
          </w:divBdr>
          <w:divsChild>
            <w:div w:id="1113675297">
              <w:marLeft w:val="0"/>
              <w:marRight w:val="0"/>
              <w:marTop w:val="0"/>
              <w:marBottom w:val="0"/>
              <w:divBdr>
                <w:top w:val="none" w:sz="0" w:space="0" w:color="auto"/>
                <w:left w:val="none" w:sz="0" w:space="0" w:color="auto"/>
                <w:bottom w:val="none" w:sz="0" w:space="0" w:color="auto"/>
                <w:right w:val="none" w:sz="0" w:space="0" w:color="auto"/>
              </w:divBdr>
            </w:div>
          </w:divsChild>
        </w:div>
        <w:div w:id="1086809658">
          <w:marLeft w:val="0"/>
          <w:marRight w:val="0"/>
          <w:marTop w:val="0"/>
          <w:marBottom w:val="0"/>
          <w:divBdr>
            <w:top w:val="none" w:sz="0" w:space="0" w:color="auto"/>
            <w:left w:val="none" w:sz="0" w:space="0" w:color="auto"/>
            <w:bottom w:val="none" w:sz="0" w:space="0" w:color="auto"/>
            <w:right w:val="none" w:sz="0" w:space="0" w:color="auto"/>
          </w:divBdr>
          <w:divsChild>
            <w:div w:id="411632528">
              <w:marLeft w:val="0"/>
              <w:marRight w:val="0"/>
              <w:marTop w:val="0"/>
              <w:marBottom w:val="0"/>
              <w:divBdr>
                <w:top w:val="none" w:sz="0" w:space="0" w:color="auto"/>
                <w:left w:val="none" w:sz="0" w:space="0" w:color="auto"/>
                <w:bottom w:val="none" w:sz="0" w:space="0" w:color="auto"/>
                <w:right w:val="none" w:sz="0" w:space="0" w:color="auto"/>
              </w:divBdr>
            </w:div>
          </w:divsChild>
        </w:div>
        <w:div w:id="1108626659">
          <w:marLeft w:val="0"/>
          <w:marRight w:val="0"/>
          <w:marTop w:val="0"/>
          <w:marBottom w:val="0"/>
          <w:divBdr>
            <w:top w:val="none" w:sz="0" w:space="0" w:color="auto"/>
            <w:left w:val="none" w:sz="0" w:space="0" w:color="auto"/>
            <w:bottom w:val="none" w:sz="0" w:space="0" w:color="auto"/>
            <w:right w:val="none" w:sz="0" w:space="0" w:color="auto"/>
          </w:divBdr>
          <w:divsChild>
            <w:div w:id="58138614">
              <w:marLeft w:val="0"/>
              <w:marRight w:val="0"/>
              <w:marTop w:val="0"/>
              <w:marBottom w:val="0"/>
              <w:divBdr>
                <w:top w:val="none" w:sz="0" w:space="0" w:color="auto"/>
                <w:left w:val="none" w:sz="0" w:space="0" w:color="auto"/>
                <w:bottom w:val="none" w:sz="0" w:space="0" w:color="auto"/>
                <w:right w:val="none" w:sz="0" w:space="0" w:color="auto"/>
              </w:divBdr>
            </w:div>
          </w:divsChild>
        </w:div>
        <w:div w:id="1116020788">
          <w:marLeft w:val="0"/>
          <w:marRight w:val="0"/>
          <w:marTop w:val="0"/>
          <w:marBottom w:val="0"/>
          <w:divBdr>
            <w:top w:val="none" w:sz="0" w:space="0" w:color="auto"/>
            <w:left w:val="none" w:sz="0" w:space="0" w:color="auto"/>
            <w:bottom w:val="none" w:sz="0" w:space="0" w:color="auto"/>
            <w:right w:val="none" w:sz="0" w:space="0" w:color="auto"/>
          </w:divBdr>
          <w:divsChild>
            <w:div w:id="1788430666">
              <w:marLeft w:val="0"/>
              <w:marRight w:val="0"/>
              <w:marTop w:val="0"/>
              <w:marBottom w:val="0"/>
              <w:divBdr>
                <w:top w:val="none" w:sz="0" w:space="0" w:color="auto"/>
                <w:left w:val="none" w:sz="0" w:space="0" w:color="auto"/>
                <w:bottom w:val="none" w:sz="0" w:space="0" w:color="auto"/>
                <w:right w:val="none" w:sz="0" w:space="0" w:color="auto"/>
              </w:divBdr>
            </w:div>
          </w:divsChild>
        </w:div>
        <w:div w:id="1133789013">
          <w:marLeft w:val="0"/>
          <w:marRight w:val="0"/>
          <w:marTop w:val="0"/>
          <w:marBottom w:val="0"/>
          <w:divBdr>
            <w:top w:val="none" w:sz="0" w:space="0" w:color="auto"/>
            <w:left w:val="none" w:sz="0" w:space="0" w:color="auto"/>
            <w:bottom w:val="none" w:sz="0" w:space="0" w:color="auto"/>
            <w:right w:val="none" w:sz="0" w:space="0" w:color="auto"/>
          </w:divBdr>
          <w:divsChild>
            <w:div w:id="456261684">
              <w:marLeft w:val="0"/>
              <w:marRight w:val="0"/>
              <w:marTop w:val="0"/>
              <w:marBottom w:val="0"/>
              <w:divBdr>
                <w:top w:val="none" w:sz="0" w:space="0" w:color="auto"/>
                <w:left w:val="none" w:sz="0" w:space="0" w:color="auto"/>
                <w:bottom w:val="none" w:sz="0" w:space="0" w:color="auto"/>
                <w:right w:val="none" w:sz="0" w:space="0" w:color="auto"/>
              </w:divBdr>
            </w:div>
          </w:divsChild>
        </w:div>
        <w:div w:id="1139958728">
          <w:marLeft w:val="0"/>
          <w:marRight w:val="0"/>
          <w:marTop w:val="0"/>
          <w:marBottom w:val="0"/>
          <w:divBdr>
            <w:top w:val="none" w:sz="0" w:space="0" w:color="auto"/>
            <w:left w:val="none" w:sz="0" w:space="0" w:color="auto"/>
            <w:bottom w:val="none" w:sz="0" w:space="0" w:color="auto"/>
            <w:right w:val="none" w:sz="0" w:space="0" w:color="auto"/>
          </w:divBdr>
          <w:divsChild>
            <w:div w:id="280382077">
              <w:marLeft w:val="0"/>
              <w:marRight w:val="0"/>
              <w:marTop w:val="0"/>
              <w:marBottom w:val="0"/>
              <w:divBdr>
                <w:top w:val="none" w:sz="0" w:space="0" w:color="auto"/>
                <w:left w:val="none" w:sz="0" w:space="0" w:color="auto"/>
                <w:bottom w:val="none" w:sz="0" w:space="0" w:color="auto"/>
                <w:right w:val="none" w:sz="0" w:space="0" w:color="auto"/>
              </w:divBdr>
            </w:div>
          </w:divsChild>
        </w:div>
        <w:div w:id="1147160440">
          <w:marLeft w:val="0"/>
          <w:marRight w:val="0"/>
          <w:marTop w:val="0"/>
          <w:marBottom w:val="0"/>
          <w:divBdr>
            <w:top w:val="none" w:sz="0" w:space="0" w:color="auto"/>
            <w:left w:val="none" w:sz="0" w:space="0" w:color="auto"/>
            <w:bottom w:val="none" w:sz="0" w:space="0" w:color="auto"/>
            <w:right w:val="none" w:sz="0" w:space="0" w:color="auto"/>
          </w:divBdr>
          <w:divsChild>
            <w:div w:id="863984415">
              <w:marLeft w:val="0"/>
              <w:marRight w:val="0"/>
              <w:marTop w:val="0"/>
              <w:marBottom w:val="0"/>
              <w:divBdr>
                <w:top w:val="none" w:sz="0" w:space="0" w:color="auto"/>
                <w:left w:val="none" w:sz="0" w:space="0" w:color="auto"/>
                <w:bottom w:val="none" w:sz="0" w:space="0" w:color="auto"/>
                <w:right w:val="none" w:sz="0" w:space="0" w:color="auto"/>
              </w:divBdr>
            </w:div>
          </w:divsChild>
        </w:div>
        <w:div w:id="1159034258">
          <w:marLeft w:val="0"/>
          <w:marRight w:val="0"/>
          <w:marTop w:val="0"/>
          <w:marBottom w:val="0"/>
          <w:divBdr>
            <w:top w:val="none" w:sz="0" w:space="0" w:color="auto"/>
            <w:left w:val="none" w:sz="0" w:space="0" w:color="auto"/>
            <w:bottom w:val="none" w:sz="0" w:space="0" w:color="auto"/>
            <w:right w:val="none" w:sz="0" w:space="0" w:color="auto"/>
          </w:divBdr>
          <w:divsChild>
            <w:div w:id="591668552">
              <w:marLeft w:val="0"/>
              <w:marRight w:val="0"/>
              <w:marTop w:val="0"/>
              <w:marBottom w:val="0"/>
              <w:divBdr>
                <w:top w:val="none" w:sz="0" w:space="0" w:color="auto"/>
                <w:left w:val="none" w:sz="0" w:space="0" w:color="auto"/>
                <w:bottom w:val="none" w:sz="0" w:space="0" w:color="auto"/>
                <w:right w:val="none" w:sz="0" w:space="0" w:color="auto"/>
              </w:divBdr>
            </w:div>
          </w:divsChild>
        </w:div>
        <w:div w:id="1193766172">
          <w:marLeft w:val="0"/>
          <w:marRight w:val="0"/>
          <w:marTop w:val="0"/>
          <w:marBottom w:val="0"/>
          <w:divBdr>
            <w:top w:val="none" w:sz="0" w:space="0" w:color="auto"/>
            <w:left w:val="none" w:sz="0" w:space="0" w:color="auto"/>
            <w:bottom w:val="none" w:sz="0" w:space="0" w:color="auto"/>
            <w:right w:val="none" w:sz="0" w:space="0" w:color="auto"/>
          </w:divBdr>
          <w:divsChild>
            <w:div w:id="677659521">
              <w:marLeft w:val="0"/>
              <w:marRight w:val="0"/>
              <w:marTop w:val="0"/>
              <w:marBottom w:val="0"/>
              <w:divBdr>
                <w:top w:val="none" w:sz="0" w:space="0" w:color="auto"/>
                <w:left w:val="none" w:sz="0" w:space="0" w:color="auto"/>
                <w:bottom w:val="none" w:sz="0" w:space="0" w:color="auto"/>
                <w:right w:val="none" w:sz="0" w:space="0" w:color="auto"/>
              </w:divBdr>
            </w:div>
          </w:divsChild>
        </w:div>
        <w:div w:id="1219821996">
          <w:marLeft w:val="0"/>
          <w:marRight w:val="0"/>
          <w:marTop w:val="0"/>
          <w:marBottom w:val="0"/>
          <w:divBdr>
            <w:top w:val="none" w:sz="0" w:space="0" w:color="auto"/>
            <w:left w:val="none" w:sz="0" w:space="0" w:color="auto"/>
            <w:bottom w:val="none" w:sz="0" w:space="0" w:color="auto"/>
            <w:right w:val="none" w:sz="0" w:space="0" w:color="auto"/>
          </w:divBdr>
          <w:divsChild>
            <w:div w:id="2046178206">
              <w:marLeft w:val="0"/>
              <w:marRight w:val="0"/>
              <w:marTop w:val="0"/>
              <w:marBottom w:val="0"/>
              <w:divBdr>
                <w:top w:val="none" w:sz="0" w:space="0" w:color="auto"/>
                <w:left w:val="none" w:sz="0" w:space="0" w:color="auto"/>
                <w:bottom w:val="none" w:sz="0" w:space="0" w:color="auto"/>
                <w:right w:val="none" w:sz="0" w:space="0" w:color="auto"/>
              </w:divBdr>
            </w:div>
          </w:divsChild>
        </w:div>
        <w:div w:id="1228027583">
          <w:marLeft w:val="0"/>
          <w:marRight w:val="0"/>
          <w:marTop w:val="0"/>
          <w:marBottom w:val="0"/>
          <w:divBdr>
            <w:top w:val="none" w:sz="0" w:space="0" w:color="auto"/>
            <w:left w:val="none" w:sz="0" w:space="0" w:color="auto"/>
            <w:bottom w:val="none" w:sz="0" w:space="0" w:color="auto"/>
            <w:right w:val="none" w:sz="0" w:space="0" w:color="auto"/>
          </w:divBdr>
          <w:divsChild>
            <w:div w:id="1761558231">
              <w:marLeft w:val="0"/>
              <w:marRight w:val="0"/>
              <w:marTop w:val="0"/>
              <w:marBottom w:val="0"/>
              <w:divBdr>
                <w:top w:val="none" w:sz="0" w:space="0" w:color="auto"/>
                <w:left w:val="none" w:sz="0" w:space="0" w:color="auto"/>
                <w:bottom w:val="none" w:sz="0" w:space="0" w:color="auto"/>
                <w:right w:val="none" w:sz="0" w:space="0" w:color="auto"/>
              </w:divBdr>
            </w:div>
          </w:divsChild>
        </w:div>
        <w:div w:id="1228997235">
          <w:marLeft w:val="0"/>
          <w:marRight w:val="0"/>
          <w:marTop w:val="0"/>
          <w:marBottom w:val="0"/>
          <w:divBdr>
            <w:top w:val="none" w:sz="0" w:space="0" w:color="auto"/>
            <w:left w:val="none" w:sz="0" w:space="0" w:color="auto"/>
            <w:bottom w:val="none" w:sz="0" w:space="0" w:color="auto"/>
            <w:right w:val="none" w:sz="0" w:space="0" w:color="auto"/>
          </w:divBdr>
          <w:divsChild>
            <w:div w:id="38476964">
              <w:marLeft w:val="0"/>
              <w:marRight w:val="0"/>
              <w:marTop w:val="0"/>
              <w:marBottom w:val="0"/>
              <w:divBdr>
                <w:top w:val="none" w:sz="0" w:space="0" w:color="auto"/>
                <w:left w:val="none" w:sz="0" w:space="0" w:color="auto"/>
                <w:bottom w:val="none" w:sz="0" w:space="0" w:color="auto"/>
                <w:right w:val="none" w:sz="0" w:space="0" w:color="auto"/>
              </w:divBdr>
            </w:div>
          </w:divsChild>
        </w:div>
        <w:div w:id="1240287489">
          <w:marLeft w:val="0"/>
          <w:marRight w:val="0"/>
          <w:marTop w:val="0"/>
          <w:marBottom w:val="0"/>
          <w:divBdr>
            <w:top w:val="none" w:sz="0" w:space="0" w:color="auto"/>
            <w:left w:val="none" w:sz="0" w:space="0" w:color="auto"/>
            <w:bottom w:val="none" w:sz="0" w:space="0" w:color="auto"/>
            <w:right w:val="none" w:sz="0" w:space="0" w:color="auto"/>
          </w:divBdr>
          <w:divsChild>
            <w:div w:id="217936566">
              <w:marLeft w:val="0"/>
              <w:marRight w:val="0"/>
              <w:marTop w:val="0"/>
              <w:marBottom w:val="0"/>
              <w:divBdr>
                <w:top w:val="none" w:sz="0" w:space="0" w:color="auto"/>
                <w:left w:val="none" w:sz="0" w:space="0" w:color="auto"/>
                <w:bottom w:val="none" w:sz="0" w:space="0" w:color="auto"/>
                <w:right w:val="none" w:sz="0" w:space="0" w:color="auto"/>
              </w:divBdr>
            </w:div>
          </w:divsChild>
        </w:div>
        <w:div w:id="1246455036">
          <w:marLeft w:val="0"/>
          <w:marRight w:val="0"/>
          <w:marTop w:val="0"/>
          <w:marBottom w:val="0"/>
          <w:divBdr>
            <w:top w:val="none" w:sz="0" w:space="0" w:color="auto"/>
            <w:left w:val="none" w:sz="0" w:space="0" w:color="auto"/>
            <w:bottom w:val="none" w:sz="0" w:space="0" w:color="auto"/>
            <w:right w:val="none" w:sz="0" w:space="0" w:color="auto"/>
          </w:divBdr>
          <w:divsChild>
            <w:div w:id="1002703885">
              <w:marLeft w:val="0"/>
              <w:marRight w:val="0"/>
              <w:marTop w:val="0"/>
              <w:marBottom w:val="0"/>
              <w:divBdr>
                <w:top w:val="none" w:sz="0" w:space="0" w:color="auto"/>
                <w:left w:val="none" w:sz="0" w:space="0" w:color="auto"/>
                <w:bottom w:val="none" w:sz="0" w:space="0" w:color="auto"/>
                <w:right w:val="none" w:sz="0" w:space="0" w:color="auto"/>
              </w:divBdr>
            </w:div>
          </w:divsChild>
        </w:div>
        <w:div w:id="1246574808">
          <w:marLeft w:val="0"/>
          <w:marRight w:val="0"/>
          <w:marTop w:val="0"/>
          <w:marBottom w:val="0"/>
          <w:divBdr>
            <w:top w:val="none" w:sz="0" w:space="0" w:color="auto"/>
            <w:left w:val="none" w:sz="0" w:space="0" w:color="auto"/>
            <w:bottom w:val="none" w:sz="0" w:space="0" w:color="auto"/>
            <w:right w:val="none" w:sz="0" w:space="0" w:color="auto"/>
          </w:divBdr>
          <w:divsChild>
            <w:div w:id="1700163767">
              <w:marLeft w:val="0"/>
              <w:marRight w:val="0"/>
              <w:marTop w:val="0"/>
              <w:marBottom w:val="0"/>
              <w:divBdr>
                <w:top w:val="none" w:sz="0" w:space="0" w:color="auto"/>
                <w:left w:val="none" w:sz="0" w:space="0" w:color="auto"/>
                <w:bottom w:val="none" w:sz="0" w:space="0" w:color="auto"/>
                <w:right w:val="none" w:sz="0" w:space="0" w:color="auto"/>
              </w:divBdr>
            </w:div>
          </w:divsChild>
        </w:div>
        <w:div w:id="1250650744">
          <w:marLeft w:val="0"/>
          <w:marRight w:val="0"/>
          <w:marTop w:val="0"/>
          <w:marBottom w:val="0"/>
          <w:divBdr>
            <w:top w:val="none" w:sz="0" w:space="0" w:color="auto"/>
            <w:left w:val="none" w:sz="0" w:space="0" w:color="auto"/>
            <w:bottom w:val="none" w:sz="0" w:space="0" w:color="auto"/>
            <w:right w:val="none" w:sz="0" w:space="0" w:color="auto"/>
          </w:divBdr>
          <w:divsChild>
            <w:div w:id="2004310167">
              <w:marLeft w:val="0"/>
              <w:marRight w:val="0"/>
              <w:marTop w:val="0"/>
              <w:marBottom w:val="0"/>
              <w:divBdr>
                <w:top w:val="none" w:sz="0" w:space="0" w:color="auto"/>
                <w:left w:val="none" w:sz="0" w:space="0" w:color="auto"/>
                <w:bottom w:val="none" w:sz="0" w:space="0" w:color="auto"/>
                <w:right w:val="none" w:sz="0" w:space="0" w:color="auto"/>
              </w:divBdr>
            </w:div>
          </w:divsChild>
        </w:div>
        <w:div w:id="1281839547">
          <w:marLeft w:val="0"/>
          <w:marRight w:val="0"/>
          <w:marTop w:val="0"/>
          <w:marBottom w:val="0"/>
          <w:divBdr>
            <w:top w:val="none" w:sz="0" w:space="0" w:color="auto"/>
            <w:left w:val="none" w:sz="0" w:space="0" w:color="auto"/>
            <w:bottom w:val="none" w:sz="0" w:space="0" w:color="auto"/>
            <w:right w:val="none" w:sz="0" w:space="0" w:color="auto"/>
          </w:divBdr>
          <w:divsChild>
            <w:div w:id="1391880551">
              <w:marLeft w:val="0"/>
              <w:marRight w:val="0"/>
              <w:marTop w:val="0"/>
              <w:marBottom w:val="0"/>
              <w:divBdr>
                <w:top w:val="none" w:sz="0" w:space="0" w:color="auto"/>
                <w:left w:val="none" w:sz="0" w:space="0" w:color="auto"/>
                <w:bottom w:val="none" w:sz="0" w:space="0" w:color="auto"/>
                <w:right w:val="none" w:sz="0" w:space="0" w:color="auto"/>
              </w:divBdr>
            </w:div>
          </w:divsChild>
        </w:div>
        <w:div w:id="1282808047">
          <w:marLeft w:val="0"/>
          <w:marRight w:val="0"/>
          <w:marTop w:val="0"/>
          <w:marBottom w:val="0"/>
          <w:divBdr>
            <w:top w:val="none" w:sz="0" w:space="0" w:color="auto"/>
            <w:left w:val="none" w:sz="0" w:space="0" w:color="auto"/>
            <w:bottom w:val="none" w:sz="0" w:space="0" w:color="auto"/>
            <w:right w:val="none" w:sz="0" w:space="0" w:color="auto"/>
          </w:divBdr>
          <w:divsChild>
            <w:div w:id="662469743">
              <w:marLeft w:val="0"/>
              <w:marRight w:val="0"/>
              <w:marTop w:val="0"/>
              <w:marBottom w:val="0"/>
              <w:divBdr>
                <w:top w:val="none" w:sz="0" w:space="0" w:color="auto"/>
                <w:left w:val="none" w:sz="0" w:space="0" w:color="auto"/>
                <w:bottom w:val="none" w:sz="0" w:space="0" w:color="auto"/>
                <w:right w:val="none" w:sz="0" w:space="0" w:color="auto"/>
              </w:divBdr>
            </w:div>
          </w:divsChild>
        </w:div>
        <w:div w:id="1285499058">
          <w:marLeft w:val="0"/>
          <w:marRight w:val="0"/>
          <w:marTop w:val="0"/>
          <w:marBottom w:val="0"/>
          <w:divBdr>
            <w:top w:val="none" w:sz="0" w:space="0" w:color="auto"/>
            <w:left w:val="none" w:sz="0" w:space="0" w:color="auto"/>
            <w:bottom w:val="none" w:sz="0" w:space="0" w:color="auto"/>
            <w:right w:val="none" w:sz="0" w:space="0" w:color="auto"/>
          </w:divBdr>
          <w:divsChild>
            <w:div w:id="1322463604">
              <w:marLeft w:val="0"/>
              <w:marRight w:val="0"/>
              <w:marTop w:val="0"/>
              <w:marBottom w:val="0"/>
              <w:divBdr>
                <w:top w:val="none" w:sz="0" w:space="0" w:color="auto"/>
                <w:left w:val="none" w:sz="0" w:space="0" w:color="auto"/>
                <w:bottom w:val="none" w:sz="0" w:space="0" w:color="auto"/>
                <w:right w:val="none" w:sz="0" w:space="0" w:color="auto"/>
              </w:divBdr>
            </w:div>
          </w:divsChild>
        </w:div>
        <w:div w:id="1285845574">
          <w:marLeft w:val="0"/>
          <w:marRight w:val="0"/>
          <w:marTop w:val="0"/>
          <w:marBottom w:val="0"/>
          <w:divBdr>
            <w:top w:val="none" w:sz="0" w:space="0" w:color="auto"/>
            <w:left w:val="none" w:sz="0" w:space="0" w:color="auto"/>
            <w:bottom w:val="none" w:sz="0" w:space="0" w:color="auto"/>
            <w:right w:val="none" w:sz="0" w:space="0" w:color="auto"/>
          </w:divBdr>
          <w:divsChild>
            <w:div w:id="255292306">
              <w:marLeft w:val="0"/>
              <w:marRight w:val="0"/>
              <w:marTop w:val="0"/>
              <w:marBottom w:val="0"/>
              <w:divBdr>
                <w:top w:val="none" w:sz="0" w:space="0" w:color="auto"/>
                <w:left w:val="none" w:sz="0" w:space="0" w:color="auto"/>
                <w:bottom w:val="none" w:sz="0" w:space="0" w:color="auto"/>
                <w:right w:val="none" w:sz="0" w:space="0" w:color="auto"/>
              </w:divBdr>
            </w:div>
          </w:divsChild>
        </w:div>
        <w:div w:id="1286503750">
          <w:marLeft w:val="0"/>
          <w:marRight w:val="0"/>
          <w:marTop w:val="0"/>
          <w:marBottom w:val="0"/>
          <w:divBdr>
            <w:top w:val="none" w:sz="0" w:space="0" w:color="auto"/>
            <w:left w:val="none" w:sz="0" w:space="0" w:color="auto"/>
            <w:bottom w:val="none" w:sz="0" w:space="0" w:color="auto"/>
            <w:right w:val="none" w:sz="0" w:space="0" w:color="auto"/>
          </w:divBdr>
          <w:divsChild>
            <w:div w:id="1442339408">
              <w:marLeft w:val="0"/>
              <w:marRight w:val="0"/>
              <w:marTop w:val="0"/>
              <w:marBottom w:val="0"/>
              <w:divBdr>
                <w:top w:val="none" w:sz="0" w:space="0" w:color="auto"/>
                <w:left w:val="none" w:sz="0" w:space="0" w:color="auto"/>
                <w:bottom w:val="none" w:sz="0" w:space="0" w:color="auto"/>
                <w:right w:val="none" w:sz="0" w:space="0" w:color="auto"/>
              </w:divBdr>
            </w:div>
          </w:divsChild>
        </w:div>
        <w:div w:id="1314526202">
          <w:marLeft w:val="0"/>
          <w:marRight w:val="0"/>
          <w:marTop w:val="0"/>
          <w:marBottom w:val="0"/>
          <w:divBdr>
            <w:top w:val="none" w:sz="0" w:space="0" w:color="auto"/>
            <w:left w:val="none" w:sz="0" w:space="0" w:color="auto"/>
            <w:bottom w:val="none" w:sz="0" w:space="0" w:color="auto"/>
            <w:right w:val="none" w:sz="0" w:space="0" w:color="auto"/>
          </w:divBdr>
          <w:divsChild>
            <w:div w:id="1673874800">
              <w:marLeft w:val="0"/>
              <w:marRight w:val="0"/>
              <w:marTop w:val="0"/>
              <w:marBottom w:val="0"/>
              <w:divBdr>
                <w:top w:val="none" w:sz="0" w:space="0" w:color="auto"/>
                <w:left w:val="none" w:sz="0" w:space="0" w:color="auto"/>
                <w:bottom w:val="none" w:sz="0" w:space="0" w:color="auto"/>
                <w:right w:val="none" w:sz="0" w:space="0" w:color="auto"/>
              </w:divBdr>
            </w:div>
          </w:divsChild>
        </w:div>
        <w:div w:id="1314988220">
          <w:marLeft w:val="0"/>
          <w:marRight w:val="0"/>
          <w:marTop w:val="0"/>
          <w:marBottom w:val="0"/>
          <w:divBdr>
            <w:top w:val="none" w:sz="0" w:space="0" w:color="auto"/>
            <w:left w:val="none" w:sz="0" w:space="0" w:color="auto"/>
            <w:bottom w:val="none" w:sz="0" w:space="0" w:color="auto"/>
            <w:right w:val="none" w:sz="0" w:space="0" w:color="auto"/>
          </w:divBdr>
          <w:divsChild>
            <w:div w:id="81685961">
              <w:marLeft w:val="0"/>
              <w:marRight w:val="0"/>
              <w:marTop w:val="0"/>
              <w:marBottom w:val="0"/>
              <w:divBdr>
                <w:top w:val="none" w:sz="0" w:space="0" w:color="auto"/>
                <w:left w:val="none" w:sz="0" w:space="0" w:color="auto"/>
                <w:bottom w:val="none" w:sz="0" w:space="0" w:color="auto"/>
                <w:right w:val="none" w:sz="0" w:space="0" w:color="auto"/>
              </w:divBdr>
            </w:div>
          </w:divsChild>
        </w:div>
        <w:div w:id="1321079368">
          <w:marLeft w:val="0"/>
          <w:marRight w:val="0"/>
          <w:marTop w:val="0"/>
          <w:marBottom w:val="0"/>
          <w:divBdr>
            <w:top w:val="none" w:sz="0" w:space="0" w:color="auto"/>
            <w:left w:val="none" w:sz="0" w:space="0" w:color="auto"/>
            <w:bottom w:val="none" w:sz="0" w:space="0" w:color="auto"/>
            <w:right w:val="none" w:sz="0" w:space="0" w:color="auto"/>
          </w:divBdr>
          <w:divsChild>
            <w:div w:id="1899316394">
              <w:marLeft w:val="0"/>
              <w:marRight w:val="0"/>
              <w:marTop w:val="0"/>
              <w:marBottom w:val="0"/>
              <w:divBdr>
                <w:top w:val="none" w:sz="0" w:space="0" w:color="auto"/>
                <w:left w:val="none" w:sz="0" w:space="0" w:color="auto"/>
                <w:bottom w:val="none" w:sz="0" w:space="0" w:color="auto"/>
                <w:right w:val="none" w:sz="0" w:space="0" w:color="auto"/>
              </w:divBdr>
            </w:div>
          </w:divsChild>
        </w:div>
        <w:div w:id="1332685110">
          <w:marLeft w:val="0"/>
          <w:marRight w:val="0"/>
          <w:marTop w:val="0"/>
          <w:marBottom w:val="0"/>
          <w:divBdr>
            <w:top w:val="none" w:sz="0" w:space="0" w:color="auto"/>
            <w:left w:val="none" w:sz="0" w:space="0" w:color="auto"/>
            <w:bottom w:val="none" w:sz="0" w:space="0" w:color="auto"/>
            <w:right w:val="none" w:sz="0" w:space="0" w:color="auto"/>
          </w:divBdr>
          <w:divsChild>
            <w:div w:id="109011413">
              <w:marLeft w:val="0"/>
              <w:marRight w:val="0"/>
              <w:marTop w:val="0"/>
              <w:marBottom w:val="0"/>
              <w:divBdr>
                <w:top w:val="none" w:sz="0" w:space="0" w:color="auto"/>
                <w:left w:val="none" w:sz="0" w:space="0" w:color="auto"/>
                <w:bottom w:val="none" w:sz="0" w:space="0" w:color="auto"/>
                <w:right w:val="none" w:sz="0" w:space="0" w:color="auto"/>
              </w:divBdr>
            </w:div>
          </w:divsChild>
        </w:div>
        <w:div w:id="1336809075">
          <w:marLeft w:val="0"/>
          <w:marRight w:val="0"/>
          <w:marTop w:val="0"/>
          <w:marBottom w:val="0"/>
          <w:divBdr>
            <w:top w:val="none" w:sz="0" w:space="0" w:color="auto"/>
            <w:left w:val="none" w:sz="0" w:space="0" w:color="auto"/>
            <w:bottom w:val="none" w:sz="0" w:space="0" w:color="auto"/>
            <w:right w:val="none" w:sz="0" w:space="0" w:color="auto"/>
          </w:divBdr>
          <w:divsChild>
            <w:div w:id="19404040">
              <w:marLeft w:val="0"/>
              <w:marRight w:val="0"/>
              <w:marTop w:val="0"/>
              <w:marBottom w:val="0"/>
              <w:divBdr>
                <w:top w:val="none" w:sz="0" w:space="0" w:color="auto"/>
                <w:left w:val="none" w:sz="0" w:space="0" w:color="auto"/>
                <w:bottom w:val="none" w:sz="0" w:space="0" w:color="auto"/>
                <w:right w:val="none" w:sz="0" w:space="0" w:color="auto"/>
              </w:divBdr>
            </w:div>
          </w:divsChild>
        </w:div>
        <w:div w:id="1354189289">
          <w:marLeft w:val="0"/>
          <w:marRight w:val="0"/>
          <w:marTop w:val="0"/>
          <w:marBottom w:val="0"/>
          <w:divBdr>
            <w:top w:val="none" w:sz="0" w:space="0" w:color="auto"/>
            <w:left w:val="none" w:sz="0" w:space="0" w:color="auto"/>
            <w:bottom w:val="none" w:sz="0" w:space="0" w:color="auto"/>
            <w:right w:val="none" w:sz="0" w:space="0" w:color="auto"/>
          </w:divBdr>
          <w:divsChild>
            <w:div w:id="1719814932">
              <w:marLeft w:val="0"/>
              <w:marRight w:val="0"/>
              <w:marTop w:val="0"/>
              <w:marBottom w:val="0"/>
              <w:divBdr>
                <w:top w:val="none" w:sz="0" w:space="0" w:color="auto"/>
                <w:left w:val="none" w:sz="0" w:space="0" w:color="auto"/>
                <w:bottom w:val="none" w:sz="0" w:space="0" w:color="auto"/>
                <w:right w:val="none" w:sz="0" w:space="0" w:color="auto"/>
              </w:divBdr>
            </w:div>
          </w:divsChild>
        </w:div>
        <w:div w:id="1360667530">
          <w:marLeft w:val="0"/>
          <w:marRight w:val="0"/>
          <w:marTop w:val="0"/>
          <w:marBottom w:val="0"/>
          <w:divBdr>
            <w:top w:val="none" w:sz="0" w:space="0" w:color="auto"/>
            <w:left w:val="none" w:sz="0" w:space="0" w:color="auto"/>
            <w:bottom w:val="none" w:sz="0" w:space="0" w:color="auto"/>
            <w:right w:val="none" w:sz="0" w:space="0" w:color="auto"/>
          </w:divBdr>
          <w:divsChild>
            <w:div w:id="68886005">
              <w:marLeft w:val="0"/>
              <w:marRight w:val="0"/>
              <w:marTop w:val="0"/>
              <w:marBottom w:val="0"/>
              <w:divBdr>
                <w:top w:val="none" w:sz="0" w:space="0" w:color="auto"/>
                <w:left w:val="none" w:sz="0" w:space="0" w:color="auto"/>
                <w:bottom w:val="none" w:sz="0" w:space="0" w:color="auto"/>
                <w:right w:val="none" w:sz="0" w:space="0" w:color="auto"/>
              </w:divBdr>
            </w:div>
          </w:divsChild>
        </w:div>
        <w:div w:id="1368599136">
          <w:marLeft w:val="0"/>
          <w:marRight w:val="0"/>
          <w:marTop w:val="0"/>
          <w:marBottom w:val="0"/>
          <w:divBdr>
            <w:top w:val="none" w:sz="0" w:space="0" w:color="auto"/>
            <w:left w:val="none" w:sz="0" w:space="0" w:color="auto"/>
            <w:bottom w:val="none" w:sz="0" w:space="0" w:color="auto"/>
            <w:right w:val="none" w:sz="0" w:space="0" w:color="auto"/>
          </w:divBdr>
          <w:divsChild>
            <w:div w:id="873614767">
              <w:marLeft w:val="0"/>
              <w:marRight w:val="0"/>
              <w:marTop w:val="0"/>
              <w:marBottom w:val="0"/>
              <w:divBdr>
                <w:top w:val="none" w:sz="0" w:space="0" w:color="auto"/>
                <w:left w:val="none" w:sz="0" w:space="0" w:color="auto"/>
                <w:bottom w:val="none" w:sz="0" w:space="0" w:color="auto"/>
                <w:right w:val="none" w:sz="0" w:space="0" w:color="auto"/>
              </w:divBdr>
            </w:div>
          </w:divsChild>
        </w:div>
        <w:div w:id="1386835053">
          <w:marLeft w:val="0"/>
          <w:marRight w:val="0"/>
          <w:marTop w:val="0"/>
          <w:marBottom w:val="0"/>
          <w:divBdr>
            <w:top w:val="none" w:sz="0" w:space="0" w:color="auto"/>
            <w:left w:val="none" w:sz="0" w:space="0" w:color="auto"/>
            <w:bottom w:val="none" w:sz="0" w:space="0" w:color="auto"/>
            <w:right w:val="none" w:sz="0" w:space="0" w:color="auto"/>
          </w:divBdr>
          <w:divsChild>
            <w:div w:id="165947420">
              <w:marLeft w:val="0"/>
              <w:marRight w:val="0"/>
              <w:marTop w:val="0"/>
              <w:marBottom w:val="0"/>
              <w:divBdr>
                <w:top w:val="none" w:sz="0" w:space="0" w:color="auto"/>
                <w:left w:val="none" w:sz="0" w:space="0" w:color="auto"/>
                <w:bottom w:val="none" w:sz="0" w:space="0" w:color="auto"/>
                <w:right w:val="none" w:sz="0" w:space="0" w:color="auto"/>
              </w:divBdr>
            </w:div>
          </w:divsChild>
        </w:div>
        <w:div w:id="1399132763">
          <w:marLeft w:val="0"/>
          <w:marRight w:val="0"/>
          <w:marTop w:val="0"/>
          <w:marBottom w:val="0"/>
          <w:divBdr>
            <w:top w:val="none" w:sz="0" w:space="0" w:color="auto"/>
            <w:left w:val="none" w:sz="0" w:space="0" w:color="auto"/>
            <w:bottom w:val="none" w:sz="0" w:space="0" w:color="auto"/>
            <w:right w:val="none" w:sz="0" w:space="0" w:color="auto"/>
          </w:divBdr>
          <w:divsChild>
            <w:div w:id="1108045524">
              <w:marLeft w:val="0"/>
              <w:marRight w:val="0"/>
              <w:marTop w:val="0"/>
              <w:marBottom w:val="0"/>
              <w:divBdr>
                <w:top w:val="none" w:sz="0" w:space="0" w:color="auto"/>
                <w:left w:val="none" w:sz="0" w:space="0" w:color="auto"/>
                <w:bottom w:val="none" w:sz="0" w:space="0" w:color="auto"/>
                <w:right w:val="none" w:sz="0" w:space="0" w:color="auto"/>
              </w:divBdr>
            </w:div>
          </w:divsChild>
        </w:div>
        <w:div w:id="1402870223">
          <w:marLeft w:val="0"/>
          <w:marRight w:val="0"/>
          <w:marTop w:val="0"/>
          <w:marBottom w:val="0"/>
          <w:divBdr>
            <w:top w:val="none" w:sz="0" w:space="0" w:color="auto"/>
            <w:left w:val="none" w:sz="0" w:space="0" w:color="auto"/>
            <w:bottom w:val="none" w:sz="0" w:space="0" w:color="auto"/>
            <w:right w:val="none" w:sz="0" w:space="0" w:color="auto"/>
          </w:divBdr>
          <w:divsChild>
            <w:div w:id="1542013385">
              <w:marLeft w:val="0"/>
              <w:marRight w:val="0"/>
              <w:marTop w:val="0"/>
              <w:marBottom w:val="0"/>
              <w:divBdr>
                <w:top w:val="none" w:sz="0" w:space="0" w:color="auto"/>
                <w:left w:val="none" w:sz="0" w:space="0" w:color="auto"/>
                <w:bottom w:val="none" w:sz="0" w:space="0" w:color="auto"/>
                <w:right w:val="none" w:sz="0" w:space="0" w:color="auto"/>
              </w:divBdr>
            </w:div>
          </w:divsChild>
        </w:div>
        <w:div w:id="1412773086">
          <w:marLeft w:val="0"/>
          <w:marRight w:val="0"/>
          <w:marTop w:val="0"/>
          <w:marBottom w:val="0"/>
          <w:divBdr>
            <w:top w:val="none" w:sz="0" w:space="0" w:color="auto"/>
            <w:left w:val="none" w:sz="0" w:space="0" w:color="auto"/>
            <w:bottom w:val="none" w:sz="0" w:space="0" w:color="auto"/>
            <w:right w:val="none" w:sz="0" w:space="0" w:color="auto"/>
          </w:divBdr>
          <w:divsChild>
            <w:div w:id="915283028">
              <w:marLeft w:val="0"/>
              <w:marRight w:val="0"/>
              <w:marTop w:val="0"/>
              <w:marBottom w:val="0"/>
              <w:divBdr>
                <w:top w:val="none" w:sz="0" w:space="0" w:color="auto"/>
                <w:left w:val="none" w:sz="0" w:space="0" w:color="auto"/>
                <w:bottom w:val="none" w:sz="0" w:space="0" w:color="auto"/>
                <w:right w:val="none" w:sz="0" w:space="0" w:color="auto"/>
              </w:divBdr>
            </w:div>
          </w:divsChild>
        </w:div>
        <w:div w:id="1434938118">
          <w:marLeft w:val="0"/>
          <w:marRight w:val="0"/>
          <w:marTop w:val="0"/>
          <w:marBottom w:val="0"/>
          <w:divBdr>
            <w:top w:val="none" w:sz="0" w:space="0" w:color="auto"/>
            <w:left w:val="none" w:sz="0" w:space="0" w:color="auto"/>
            <w:bottom w:val="none" w:sz="0" w:space="0" w:color="auto"/>
            <w:right w:val="none" w:sz="0" w:space="0" w:color="auto"/>
          </w:divBdr>
          <w:divsChild>
            <w:div w:id="416097732">
              <w:marLeft w:val="0"/>
              <w:marRight w:val="0"/>
              <w:marTop w:val="0"/>
              <w:marBottom w:val="0"/>
              <w:divBdr>
                <w:top w:val="none" w:sz="0" w:space="0" w:color="auto"/>
                <w:left w:val="none" w:sz="0" w:space="0" w:color="auto"/>
                <w:bottom w:val="none" w:sz="0" w:space="0" w:color="auto"/>
                <w:right w:val="none" w:sz="0" w:space="0" w:color="auto"/>
              </w:divBdr>
            </w:div>
          </w:divsChild>
        </w:div>
        <w:div w:id="1448155514">
          <w:marLeft w:val="0"/>
          <w:marRight w:val="0"/>
          <w:marTop w:val="0"/>
          <w:marBottom w:val="0"/>
          <w:divBdr>
            <w:top w:val="none" w:sz="0" w:space="0" w:color="auto"/>
            <w:left w:val="none" w:sz="0" w:space="0" w:color="auto"/>
            <w:bottom w:val="none" w:sz="0" w:space="0" w:color="auto"/>
            <w:right w:val="none" w:sz="0" w:space="0" w:color="auto"/>
          </w:divBdr>
          <w:divsChild>
            <w:div w:id="148178506">
              <w:marLeft w:val="0"/>
              <w:marRight w:val="0"/>
              <w:marTop w:val="0"/>
              <w:marBottom w:val="0"/>
              <w:divBdr>
                <w:top w:val="none" w:sz="0" w:space="0" w:color="auto"/>
                <w:left w:val="none" w:sz="0" w:space="0" w:color="auto"/>
                <w:bottom w:val="none" w:sz="0" w:space="0" w:color="auto"/>
                <w:right w:val="none" w:sz="0" w:space="0" w:color="auto"/>
              </w:divBdr>
            </w:div>
          </w:divsChild>
        </w:div>
        <w:div w:id="1464302490">
          <w:marLeft w:val="0"/>
          <w:marRight w:val="0"/>
          <w:marTop w:val="0"/>
          <w:marBottom w:val="0"/>
          <w:divBdr>
            <w:top w:val="none" w:sz="0" w:space="0" w:color="auto"/>
            <w:left w:val="none" w:sz="0" w:space="0" w:color="auto"/>
            <w:bottom w:val="none" w:sz="0" w:space="0" w:color="auto"/>
            <w:right w:val="none" w:sz="0" w:space="0" w:color="auto"/>
          </w:divBdr>
          <w:divsChild>
            <w:div w:id="1355687157">
              <w:marLeft w:val="0"/>
              <w:marRight w:val="0"/>
              <w:marTop w:val="0"/>
              <w:marBottom w:val="0"/>
              <w:divBdr>
                <w:top w:val="none" w:sz="0" w:space="0" w:color="auto"/>
                <w:left w:val="none" w:sz="0" w:space="0" w:color="auto"/>
                <w:bottom w:val="none" w:sz="0" w:space="0" w:color="auto"/>
                <w:right w:val="none" w:sz="0" w:space="0" w:color="auto"/>
              </w:divBdr>
            </w:div>
          </w:divsChild>
        </w:div>
        <w:div w:id="1480882729">
          <w:marLeft w:val="0"/>
          <w:marRight w:val="0"/>
          <w:marTop w:val="0"/>
          <w:marBottom w:val="0"/>
          <w:divBdr>
            <w:top w:val="none" w:sz="0" w:space="0" w:color="auto"/>
            <w:left w:val="none" w:sz="0" w:space="0" w:color="auto"/>
            <w:bottom w:val="none" w:sz="0" w:space="0" w:color="auto"/>
            <w:right w:val="none" w:sz="0" w:space="0" w:color="auto"/>
          </w:divBdr>
          <w:divsChild>
            <w:div w:id="44527042">
              <w:marLeft w:val="0"/>
              <w:marRight w:val="0"/>
              <w:marTop w:val="0"/>
              <w:marBottom w:val="0"/>
              <w:divBdr>
                <w:top w:val="none" w:sz="0" w:space="0" w:color="auto"/>
                <w:left w:val="none" w:sz="0" w:space="0" w:color="auto"/>
                <w:bottom w:val="none" w:sz="0" w:space="0" w:color="auto"/>
                <w:right w:val="none" w:sz="0" w:space="0" w:color="auto"/>
              </w:divBdr>
            </w:div>
          </w:divsChild>
        </w:div>
        <w:div w:id="1492796331">
          <w:marLeft w:val="0"/>
          <w:marRight w:val="0"/>
          <w:marTop w:val="0"/>
          <w:marBottom w:val="0"/>
          <w:divBdr>
            <w:top w:val="none" w:sz="0" w:space="0" w:color="auto"/>
            <w:left w:val="none" w:sz="0" w:space="0" w:color="auto"/>
            <w:bottom w:val="none" w:sz="0" w:space="0" w:color="auto"/>
            <w:right w:val="none" w:sz="0" w:space="0" w:color="auto"/>
          </w:divBdr>
          <w:divsChild>
            <w:div w:id="1799764351">
              <w:marLeft w:val="0"/>
              <w:marRight w:val="0"/>
              <w:marTop w:val="0"/>
              <w:marBottom w:val="0"/>
              <w:divBdr>
                <w:top w:val="none" w:sz="0" w:space="0" w:color="auto"/>
                <w:left w:val="none" w:sz="0" w:space="0" w:color="auto"/>
                <w:bottom w:val="none" w:sz="0" w:space="0" w:color="auto"/>
                <w:right w:val="none" w:sz="0" w:space="0" w:color="auto"/>
              </w:divBdr>
            </w:div>
          </w:divsChild>
        </w:div>
        <w:div w:id="1502117873">
          <w:marLeft w:val="0"/>
          <w:marRight w:val="0"/>
          <w:marTop w:val="0"/>
          <w:marBottom w:val="0"/>
          <w:divBdr>
            <w:top w:val="none" w:sz="0" w:space="0" w:color="auto"/>
            <w:left w:val="none" w:sz="0" w:space="0" w:color="auto"/>
            <w:bottom w:val="none" w:sz="0" w:space="0" w:color="auto"/>
            <w:right w:val="none" w:sz="0" w:space="0" w:color="auto"/>
          </w:divBdr>
          <w:divsChild>
            <w:div w:id="1582910869">
              <w:marLeft w:val="0"/>
              <w:marRight w:val="0"/>
              <w:marTop w:val="0"/>
              <w:marBottom w:val="0"/>
              <w:divBdr>
                <w:top w:val="none" w:sz="0" w:space="0" w:color="auto"/>
                <w:left w:val="none" w:sz="0" w:space="0" w:color="auto"/>
                <w:bottom w:val="none" w:sz="0" w:space="0" w:color="auto"/>
                <w:right w:val="none" w:sz="0" w:space="0" w:color="auto"/>
              </w:divBdr>
            </w:div>
          </w:divsChild>
        </w:div>
        <w:div w:id="1503010175">
          <w:marLeft w:val="0"/>
          <w:marRight w:val="0"/>
          <w:marTop w:val="0"/>
          <w:marBottom w:val="0"/>
          <w:divBdr>
            <w:top w:val="none" w:sz="0" w:space="0" w:color="auto"/>
            <w:left w:val="none" w:sz="0" w:space="0" w:color="auto"/>
            <w:bottom w:val="none" w:sz="0" w:space="0" w:color="auto"/>
            <w:right w:val="none" w:sz="0" w:space="0" w:color="auto"/>
          </w:divBdr>
          <w:divsChild>
            <w:div w:id="443502897">
              <w:marLeft w:val="0"/>
              <w:marRight w:val="0"/>
              <w:marTop w:val="0"/>
              <w:marBottom w:val="0"/>
              <w:divBdr>
                <w:top w:val="none" w:sz="0" w:space="0" w:color="auto"/>
                <w:left w:val="none" w:sz="0" w:space="0" w:color="auto"/>
                <w:bottom w:val="none" w:sz="0" w:space="0" w:color="auto"/>
                <w:right w:val="none" w:sz="0" w:space="0" w:color="auto"/>
              </w:divBdr>
            </w:div>
          </w:divsChild>
        </w:div>
        <w:div w:id="1516650768">
          <w:marLeft w:val="0"/>
          <w:marRight w:val="0"/>
          <w:marTop w:val="0"/>
          <w:marBottom w:val="0"/>
          <w:divBdr>
            <w:top w:val="none" w:sz="0" w:space="0" w:color="auto"/>
            <w:left w:val="none" w:sz="0" w:space="0" w:color="auto"/>
            <w:bottom w:val="none" w:sz="0" w:space="0" w:color="auto"/>
            <w:right w:val="none" w:sz="0" w:space="0" w:color="auto"/>
          </w:divBdr>
          <w:divsChild>
            <w:div w:id="1835022562">
              <w:marLeft w:val="0"/>
              <w:marRight w:val="0"/>
              <w:marTop w:val="0"/>
              <w:marBottom w:val="0"/>
              <w:divBdr>
                <w:top w:val="none" w:sz="0" w:space="0" w:color="auto"/>
                <w:left w:val="none" w:sz="0" w:space="0" w:color="auto"/>
                <w:bottom w:val="none" w:sz="0" w:space="0" w:color="auto"/>
                <w:right w:val="none" w:sz="0" w:space="0" w:color="auto"/>
              </w:divBdr>
            </w:div>
          </w:divsChild>
        </w:div>
        <w:div w:id="1529904307">
          <w:marLeft w:val="0"/>
          <w:marRight w:val="0"/>
          <w:marTop w:val="0"/>
          <w:marBottom w:val="0"/>
          <w:divBdr>
            <w:top w:val="none" w:sz="0" w:space="0" w:color="auto"/>
            <w:left w:val="none" w:sz="0" w:space="0" w:color="auto"/>
            <w:bottom w:val="none" w:sz="0" w:space="0" w:color="auto"/>
            <w:right w:val="none" w:sz="0" w:space="0" w:color="auto"/>
          </w:divBdr>
          <w:divsChild>
            <w:div w:id="400569306">
              <w:marLeft w:val="0"/>
              <w:marRight w:val="0"/>
              <w:marTop w:val="0"/>
              <w:marBottom w:val="0"/>
              <w:divBdr>
                <w:top w:val="none" w:sz="0" w:space="0" w:color="auto"/>
                <w:left w:val="none" w:sz="0" w:space="0" w:color="auto"/>
                <w:bottom w:val="none" w:sz="0" w:space="0" w:color="auto"/>
                <w:right w:val="none" w:sz="0" w:space="0" w:color="auto"/>
              </w:divBdr>
            </w:div>
          </w:divsChild>
        </w:div>
        <w:div w:id="1547716150">
          <w:marLeft w:val="0"/>
          <w:marRight w:val="0"/>
          <w:marTop w:val="0"/>
          <w:marBottom w:val="0"/>
          <w:divBdr>
            <w:top w:val="none" w:sz="0" w:space="0" w:color="auto"/>
            <w:left w:val="none" w:sz="0" w:space="0" w:color="auto"/>
            <w:bottom w:val="none" w:sz="0" w:space="0" w:color="auto"/>
            <w:right w:val="none" w:sz="0" w:space="0" w:color="auto"/>
          </w:divBdr>
          <w:divsChild>
            <w:div w:id="1082800995">
              <w:marLeft w:val="0"/>
              <w:marRight w:val="0"/>
              <w:marTop w:val="0"/>
              <w:marBottom w:val="0"/>
              <w:divBdr>
                <w:top w:val="none" w:sz="0" w:space="0" w:color="auto"/>
                <w:left w:val="none" w:sz="0" w:space="0" w:color="auto"/>
                <w:bottom w:val="none" w:sz="0" w:space="0" w:color="auto"/>
                <w:right w:val="none" w:sz="0" w:space="0" w:color="auto"/>
              </w:divBdr>
            </w:div>
          </w:divsChild>
        </w:div>
        <w:div w:id="1555503923">
          <w:marLeft w:val="0"/>
          <w:marRight w:val="0"/>
          <w:marTop w:val="0"/>
          <w:marBottom w:val="0"/>
          <w:divBdr>
            <w:top w:val="none" w:sz="0" w:space="0" w:color="auto"/>
            <w:left w:val="none" w:sz="0" w:space="0" w:color="auto"/>
            <w:bottom w:val="none" w:sz="0" w:space="0" w:color="auto"/>
            <w:right w:val="none" w:sz="0" w:space="0" w:color="auto"/>
          </w:divBdr>
          <w:divsChild>
            <w:div w:id="1086729809">
              <w:marLeft w:val="0"/>
              <w:marRight w:val="0"/>
              <w:marTop w:val="0"/>
              <w:marBottom w:val="0"/>
              <w:divBdr>
                <w:top w:val="none" w:sz="0" w:space="0" w:color="auto"/>
                <w:left w:val="none" w:sz="0" w:space="0" w:color="auto"/>
                <w:bottom w:val="none" w:sz="0" w:space="0" w:color="auto"/>
                <w:right w:val="none" w:sz="0" w:space="0" w:color="auto"/>
              </w:divBdr>
            </w:div>
          </w:divsChild>
        </w:div>
        <w:div w:id="1573925664">
          <w:marLeft w:val="0"/>
          <w:marRight w:val="0"/>
          <w:marTop w:val="0"/>
          <w:marBottom w:val="0"/>
          <w:divBdr>
            <w:top w:val="none" w:sz="0" w:space="0" w:color="auto"/>
            <w:left w:val="none" w:sz="0" w:space="0" w:color="auto"/>
            <w:bottom w:val="none" w:sz="0" w:space="0" w:color="auto"/>
            <w:right w:val="none" w:sz="0" w:space="0" w:color="auto"/>
          </w:divBdr>
          <w:divsChild>
            <w:div w:id="710692902">
              <w:marLeft w:val="0"/>
              <w:marRight w:val="0"/>
              <w:marTop w:val="0"/>
              <w:marBottom w:val="0"/>
              <w:divBdr>
                <w:top w:val="none" w:sz="0" w:space="0" w:color="auto"/>
                <w:left w:val="none" w:sz="0" w:space="0" w:color="auto"/>
                <w:bottom w:val="none" w:sz="0" w:space="0" w:color="auto"/>
                <w:right w:val="none" w:sz="0" w:space="0" w:color="auto"/>
              </w:divBdr>
            </w:div>
          </w:divsChild>
        </w:div>
        <w:div w:id="1574195202">
          <w:marLeft w:val="0"/>
          <w:marRight w:val="0"/>
          <w:marTop w:val="0"/>
          <w:marBottom w:val="0"/>
          <w:divBdr>
            <w:top w:val="none" w:sz="0" w:space="0" w:color="auto"/>
            <w:left w:val="none" w:sz="0" w:space="0" w:color="auto"/>
            <w:bottom w:val="none" w:sz="0" w:space="0" w:color="auto"/>
            <w:right w:val="none" w:sz="0" w:space="0" w:color="auto"/>
          </w:divBdr>
          <w:divsChild>
            <w:div w:id="1009529268">
              <w:marLeft w:val="0"/>
              <w:marRight w:val="0"/>
              <w:marTop w:val="0"/>
              <w:marBottom w:val="0"/>
              <w:divBdr>
                <w:top w:val="none" w:sz="0" w:space="0" w:color="auto"/>
                <w:left w:val="none" w:sz="0" w:space="0" w:color="auto"/>
                <w:bottom w:val="none" w:sz="0" w:space="0" w:color="auto"/>
                <w:right w:val="none" w:sz="0" w:space="0" w:color="auto"/>
              </w:divBdr>
            </w:div>
          </w:divsChild>
        </w:div>
        <w:div w:id="1628201320">
          <w:marLeft w:val="0"/>
          <w:marRight w:val="0"/>
          <w:marTop w:val="0"/>
          <w:marBottom w:val="0"/>
          <w:divBdr>
            <w:top w:val="none" w:sz="0" w:space="0" w:color="auto"/>
            <w:left w:val="none" w:sz="0" w:space="0" w:color="auto"/>
            <w:bottom w:val="none" w:sz="0" w:space="0" w:color="auto"/>
            <w:right w:val="none" w:sz="0" w:space="0" w:color="auto"/>
          </w:divBdr>
          <w:divsChild>
            <w:div w:id="1715739582">
              <w:marLeft w:val="0"/>
              <w:marRight w:val="0"/>
              <w:marTop w:val="0"/>
              <w:marBottom w:val="0"/>
              <w:divBdr>
                <w:top w:val="none" w:sz="0" w:space="0" w:color="auto"/>
                <w:left w:val="none" w:sz="0" w:space="0" w:color="auto"/>
                <w:bottom w:val="none" w:sz="0" w:space="0" w:color="auto"/>
                <w:right w:val="none" w:sz="0" w:space="0" w:color="auto"/>
              </w:divBdr>
            </w:div>
          </w:divsChild>
        </w:div>
        <w:div w:id="1629782004">
          <w:marLeft w:val="0"/>
          <w:marRight w:val="0"/>
          <w:marTop w:val="0"/>
          <w:marBottom w:val="0"/>
          <w:divBdr>
            <w:top w:val="none" w:sz="0" w:space="0" w:color="auto"/>
            <w:left w:val="none" w:sz="0" w:space="0" w:color="auto"/>
            <w:bottom w:val="none" w:sz="0" w:space="0" w:color="auto"/>
            <w:right w:val="none" w:sz="0" w:space="0" w:color="auto"/>
          </w:divBdr>
          <w:divsChild>
            <w:div w:id="641618392">
              <w:marLeft w:val="0"/>
              <w:marRight w:val="0"/>
              <w:marTop w:val="0"/>
              <w:marBottom w:val="0"/>
              <w:divBdr>
                <w:top w:val="none" w:sz="0" w:space="0" w:color="auto"/>
                <w:left w:val="none" w:sz="0" w:space="0" w:color="auto"/>
                <w:bottom w:val="none" w:sz="0" w:space="0" w:color="auto"/>
                <w:right w:val="none" w:sz="0" w:space="0" w:color="auto"/>
              </w:divBdr>
            </w:div>
          </w:divsChild>
        </w:div>
        <w:div w:id="1640528498">
          <w:marLeft w:val="0"/>
          <w:marRight w:val="0"/>
          <w:marTop w:val="0"/>
          <w:marBottom w:val="0"/>
          <w:divBdr>
            <w:top w:val="none" w:sz="0" w:space="0" w:color="auto"/>
            <w:left w:val="none" w:sz="0" w:space="0" w:color="auto"/>
            <w:bottom w:val="none" w:sz="0" w:space="0" w:color="auto"/>
            <w:right w:val="none" w:sz="0" w:space="0" w:color="auto"/>
          </w:divBdr>
          <w:divsChild>
            <w:div w:id="301740865">
              <w:marLeft w:val="0"/>
              <w:marRight w:val="0"/>
              <w:marTop w:val="0"/>
              <w:marBottom w:val="0"/>
              <w:divBdr>
                <w:top w:val="none" w:sz="0" w:space="0" w:color="auto"/>
                <w:left w:val="none" w:sz="0" w:space="0" w:color="auto"/>
                <w:bottom w:val="none" w:sz="0" w:space="0" w:color="auto"/>
                <w:right w:val="none" w:sz="0" w:space="0" w:color="auto"/>
              </w:divBdr>
            </w:div>
          </w:divsChild>
        </w:div>
        <w:div w:id="1642928185">
          <w:marLeft w:val="0"/>
          <w:marRight w:val="0"/>
          <w:marTop w:val="0"/>
          <w:marBottom w:val="0"/>
          <w:divBdr>
            <w:top w:val="none" w:sz="0" w:space="0" w:color="auto"/>
            <w:left w:val="none" w:sz="0" w:space="0" w:color="auto"/>
            <w:bottom w:val="none" w:sz="0" w:space="0" w:color="auto"/>
            <w:right w:val="none" w:sz="0" w:space="0" w:color="auto"/>
          </w:divBdr>
          <w:divsChild>
            <w:div w:id="643660040">
              <w:marLeft w:val="0"/>
              <w:marRight w:val="0"/>
              <w:marTop w:val="0"/>
              <w:marBottom w:val="0"/>
              <w:divBdr>
                <w:top w:val="none" w:sz="0" w:space="0" w:color="auto"/>
                <w:left w:val="none" w:sz="0" w:space="0" w:color="auto"/>
                <w:bottom w:val="none" w:sz="0" w:space="0" w:color="auto"/>
                <w:right w:val="none" w:sz="0" w:space="0" w:color="auto"/>
              </w:divBdr>
            </w:div>
          </w:divsChild>
        </w:div>
        <w:div w:id="1652754993">
          <w:marLeft w:val="0"/>
          <w:marRight w:val="0"/>
          <w:marTop w:val="0"/>
          <w:marBottom w:val="0"/>
          <w:divBdr>
            <w:top w:val="none" w:sz="0" w:space="0" w:color="auto"/>
            <w:left w:val="none" w:sz="0" w:space="0" w:color="auto"/>
            <w:bottom w:val="none" w:sz="0" w:space="0" w:color="auto"/>
            <w:right w:val="none" w:sz="0" w:space="0" w:color="auto"/>
          </w:divBdr>
          <w:divsChild>
            <w:div w:id="1936790989">
              <w:marLeft w:val="0"/>
              <w:marRight w:val="0"/>
              <w:marTop w:val="0"/>
              <w:marBottom w:val="0"/>
              <w:divBdr>
                <w:top w:val="none" w:sz="0" w:space="0" w:color="auto"/>
                <w:left w:val="none" w:sz="0" w:space="0" w:color="auto"/>
                <w:bottom w:val="none" w:sz="0" w:space="0" w:color="auto"/>
                <w:right w:val="none" w:sz="0" w:space="0" w:color="auto"/>
              </w:divBdr>
            </w:div>
          </w:divsChild>
        </w:div>
        <w:div w:id="1660035607">
          <w:marLeft w:val="0"/>
          <w:marRight w:val="0"/>
          <w:marTop w:val="0"/>
          <w:marBottom w:val="0"/>
          <w:divBdr>
            <w:top w:val="none" w:sz="0" w:space="0" w:color="auto"/>
            <w:left w:val="none" w:sz="0" w:space="0" w:color="auto"/>
            <w:bottom w:val="none" w:sz="0" w:space="0" w:color="auto"/>
            <w:right w:val="none" w:sz="0" w:space="0" w:color="auto"/>
          </w:divBdr>
          <w:divsChild>
            <w:div w:id="1036657746">
              <w:marLeft w:val="0"/>
              <w:marRight w:val="0"/>
              <w:marTop w:val="0"/>
              <w:marBottom w:val="0"/>
              <w:divBdr>
                <w:top w:val="none" w:sz="0" w:space="0" w:color="auto"/>
                <w:left w:val="none" w:sz="0" w:space="0" w:color="auto"/>
                <w:bottom w:val="none" w:sz="0" w:space="0" w:color="auto"/>
                <w:right w:val="none" w:sz="0" w:space="0" w:color="auto"/>
              </w:divBdr>
            </w:div>
          </w:divsChild>
        </w:div>
        <w:div w:id="1680543791">
          <w:marLeft w:val="0"/>
          <w:marRight w:val="0"/>
          <w:marTop w:val="0"/>
          <w:marBottom w:val="0"/>
          <w:divBdr>
            <w:top w:val="none" w:sz="0" w:space="0" w:color="auto"/>
            <w:left w:val="none" w:sz="0" w:space="0" w:color="auto"/>
            <w:bottom w:val="none" w:sz="0" w:space="0" w:color="auto"/>
            <w:right w:val="none" w:sz="0" w:space="0" w:color="auto"/>
          </w:divBdr>
          <w:divsChild>
            <w:div w:id="2084066236">
              <w:marLeft w:val="0"/>
              <w:marRight w:val="0"/>
              <w:marTop w:val="0"/>
              <w:marBottom w:val="0"/>
              <w:divBdr>
                <w:top w:val="none" w:sz="0" w:space="0" w:color="auto"/>
                <w:left w:val="none" w:sz="0" w:space="0" w:color="auto"/>
                <w:bottom w:val="none" w:sz="0" w:space="0" w:color="auto"/>
                <w:right w:val="none" w:sz="0" w:space="0" w:color="auto"/>
              </w:divBdr>
            </w:div>
          </w:divsChild>
        </w:div>
        <w:div w:id="1686637953">
          <w:marLeft w:val="0"/>
          <w:marRight w:val="0"/>
          <w:marTop w:val="0"/>
          <w:marBottom w:val="0"/>
          <w:divBdr>
            <w:top w:val="none" w:sz="0" w:space="0" w:color="auto"/>
            <w:left w:val="none" w:sz="0" w:space="0" w:color="auto"/>
            <w:bottom w:val="none" w:sz="0" w:space="0" w:color="auto"/>
            <w:right w:val="none" w:sz="0" w:space="0" w:color="auto"/>
          </w:divBdr>
          <w:divsChild>
            <w:div w:id="678312780">
              <w:marLeft w:val="0"/>
              <w:marRight w:val="0"/>
              <w:marTop w:val="0"/>
              <w:marBottom w:val="0"/>
              <w:divBdr>
                <w:top w:val="none" w:sz="0" w:space="0" w:color="auto"/>
                <w:left w:val="none" w:sz="0" w:space="0" w:color="auto"/>
                <w:bottom w:val="none" w:sz="0" w:space="0" w:color="auto"/>
                <w:right w:val="none" w:sz="0" w:space="0" w:color="auto"/>
              </w:divBdr>
            </w:div>
          </w:divsChild>
        </w:div>
        <w:div w:id="1690132984">
          <w:marLeft w:val="0"/>
          <w:marRight w:val="0"/>
          <w:marTop w:val="0"/>
          <w:marBottom w:val="0"/>
          <w:divBdr>
            <w:top w:val="none" w:sz="0" w:space="0" w:color="auto"/>
            <w:left w:val="none" w:sz="0" w:space="0" w:color="auto"/>
            <w:bottom w:val="none" w:sz="0" w:space="0" w:color="auto"/>
            <w:right w:val="none" w:sz="0" w:space="0" w:color="auto"/>
          </w:divBdr>
          <w:divsChild>
            <w:div w:id="1386486945">
              <w:marLeft w:val="0"/>
              <w:marRight w:val="0"/>
              <w:marTop w:val="0"/>
              <w:marBottom w:val="0"/>
              <w:divBdr>
                <w:top w:val="none" w:sz="0" w:space="0" w:color="auto"/>
                <w:left w:val="none" w:sz="0" w:space="0" w:color="auto"/>
                <w:bottom w:val="none" w:sz="0" w:space="0" w:color="auto"/>
                <w:right w:val="none" w:sz="0" w:space="0" w:color="auto"/>
              </w:divBdr>
            </w:div>
          </w:divsChild>
        </w:div>
        <w:div w:id="1691494663">
          <w:marLeft w:val="0"/>
          <w:marRight w:val="0"/>
          <w:marTop w:val="0"/>
          <w:marBottom w:val="0"/>
          <w:divBdr>
            <w:top w:val="none" w:sz="0" w:space="0" w:color="auto"/>
            <w:left w:val="none" w:sz="0" w:space="0" w:color="auto"/>
            <w:bottom w:val="none" w:sz="0" w:space="0" w:color="auto"/>
            <w:right w:val="none" w:sz="0" w:space="0" w:color="auto"/>
          </w:divBdr>
          <w:divsChild>
            <w:div w:id="1694068069">
              <w:marLeft w:val="0"/>
              <w:marRight w:val="0"/>
              <w:marTop w:val="0"/>
              <w:marBottom w:val="0"/>
              <w:divBdr>
                <w:top w:val="none" w:sz="0" w:space="0" w:color="auto"/>
                <w:left w:val="none" w:sz="0" w:space="0" w:color="auto"/>
                <w:bottom w:val="none" w:sz="0" w:space="0" w:color="auto"/>
                <w:right w:val="none" w:sz="0" w:space="0" w:color="auto"/>
              </w:divBdr>
            </w:div>
          </w:divsChild>
        </w:div>
        <w:div w:id="1704359928">
          <w:marLeft w:val="0"/>
          <w:marRight w:val="0"/>
          <w:marTop w:val="0"/>
          <w:marBottom w:val="0"/>
          <w:divBdr>
            <w:top w:val="none" w:sz="0" w:space="0" w:color="auto"/>
            <w:left w:val="none" w:sz="0" w:space="0" w:color="auto"/>
            <w:bottom w:val="none" w:sz="0" w:space="0" w:color="auto"/>
            <w:right w:val="none" w:sz="0" w:space="0" w:color="auto"/>
          </w:divBdr>
          <w:divsChild>
            <w:div w:id="1905018624">
              <w:marLeft w:val="0"/>
              <w:marRight w:val="0"/>
              <w:marTop w:val="0"/>
              <w:marBottom w:val="0"/>
              <w:divBdr>
                <w:top w:val="none" w:sz="0" w:space="0" w:color="auto"/>
                <w:left w:val="none" w:sz="0" w:space="0" w:color="auto"/>
                <w:bottom w:val="none" w:sz="0" w:space="0" w:color="auto"/>
                <w:right w:val="none" w:sz="0" w:space="0" w:color="auto"/>
              </w:divBdr>
            </w:div>
          </w:divsChild>
        </w:div>
        <w:div w:id="1705472659">
          <w:marLeft w:val="0"/>
          <w:marRight w:val="0"/>
          <w:marTop w:val="0"/>
          <w:marBottom w:val="0"/>
          <w:divBdr>
            <w:top w:val="none" w:sz="0" w:space="0" w:color="auto"/>
            <w:left w:val="none" w:sz="0" w:space="0" w:color="auto"/>
            <w:bottom w:val="none" w:sz="0" w:space="0" w:color="auto"/>
            <w:right w:val="none" w:sz="0" w:space="0" w:color="auto"/>
          </w:divBdr>
          <w:divsChild>
            <w:div w:id="1582518944">
              <w:marLeft w:val="0"/>
              <w:marRight w:val="0"/>
              <w:marTop w:val="0"/>
              <w:marBottom w:val="0"/>
              <w:divBdr>
                <w:top w:val="none" w:sz="0" w:space="0" w:color="auto"/>
                <w:left w:val="none" w:sz="0" w:space="0" w:color="auto"/>
                <w:bottom w:val="none" w:sz="0" w:space="0" w:color="auto"/>
                <w:right w:val="none" w:sz="0" w:space="0" w:color="auto"/>
              </w:divBdr>
            </w:div>
          </w:divsChild>
        </w:div>
        <w:div w:id="1726369177">
          <w:marLeft w:val="0"/>
          <w:marRight w:val="0"/>
          <w:marTop w:val="0"/>
          <w:marBottom w:val="0"/>
          <w:divBdr>
            <w:top w:val="none" w:sz="0" w:space="0" w:color="auto"/>
            <w:left w:val="none" w:sz="0" w:space="0" w:color="auto"/>
            <w:bottom w:val="none" w:sz="0" w:space="0" w:color="auto"/>
            <w:right w:val="none" w:sz="0" w:space="0" w:color="auto"/>
          </w:divBdr>
          <w:divsChild>
            <w:div w:id="1586181483">
              <w:marLeft w:val="0"/>
              <w:marRight w:val="0"/>
              <w:marTop w:val="0"/>
              <w:marBottom w:val="0"/>
              <w:divBdr>
                <w:top w:val="none" w:sz="0" w:space="0" w:color="auto"/>
                <w:left w:val="none" w:sz="0" w:space="0" w:color="auto"/>
                <w:bottom w:val="none" w:sz="0" w:space="0" w:color="auto"/>
                <w:right w:val="none" w:sz="0" w:space="0" w:color="auto"/>
              </w:divBdr>
            </w:div>
          </w:divsChild>
        </w:div>
        <w:div w:id="1732462504">
          <w:marLeft w:val="0"/>
          <w:marRight w:val="0"/>
          <w:marTop w:val="0"/>
          <w:marBottom w:val="0"/>
          <w:divBdr>
            <w:top w:val="none" w:sz="0" w:space="0" w:color="auto"/>
            <w:left w:val="none" w:sz="0" w:space="0" w:color="auto"/>
            <w:bottom w:val="none" w:sz="0" w:space="0" w:color="auto"/>
            <w:right w:val="none" w:sz="0" w:space="0" w:color="auto"/>
          </w:divBdr>
          <w:divsChild>
            <w:div w:id="754471657">
              <w:marLeft w:val="0"/>
              <w:marRight w:val="0"/>
              <w:marTop w:val="0"/>
              <w:marBottom w:val="0"/>
              <w:divBdr>
                <w:top w:val="none" w:sz="0" w:space="0" w:color="auto"/>
                <w:left w:val="none" w:sz="0" w:space="0" w:color="auto"/>
                <w:bottom w:val="none" w:sz="0" w:space="0" w:color="auto"/>
                <w:right w:val="none" w:sz="0" w:space="0" w:color="auto"/>
              </w:divBdr>
            </w:div>
          </w:divsChild>
        </w:div>
        <w:div w:id="1742170574">
          <w:marLeft w:val="0"/>
          <w:marRight w:val="0"/>
          <w:marTop w:val="0"/>
          <w:marBottom w:val="0"/>
          <w:divBdr>
            <w:top w:val="none" w:sz="0" w:space="0" w:color="auto"/>
            <w:left w:val="none" w:sz="0" w:space="0" w:color="auto"/>
            <w:bottom w:val="none" w:sz="0" w:space="0" w:color="auto"/>
            <w:right w:val="none" w:sz="0" w:space="0" w:color="auto"/>
          </w:divBdr>
          <w:divsChild>
            <w:div w:id="994600730">
              <w:marLeft w:val="0"/>
              <w:marRight w:val="0"/>
              <w:marTop w:val="0"/>
              <w:marBottom w:val="0"/>
              <w:divBdr>
                <w:top w:val="none" w:sz="0" w:space="0" w:color="auto"/>
                <w:left w:val="none" w:sz="0" w:space="0" w:color="auto"/>
                <w:bottom w:val="none" w:sz="0" w:space="0" w:color="auto"/>
                <w:right w:val="none" w:sz="0" w:space="0" w:color="auto"/>
              </w:divBdr>
            </w:div>
          </w:divsChild>
        </w:div>
        <w:div w:id="1782872270">
          <w:marLeft w:val="0"/>
          <w:marRight w:val="0"/>
          <w:marTop w:val="0"/>
          <w:marBottom w:val="0"/>
          <w:divBdr>
            <w:top w:val="none" w:sz="0" w:space="0" w:color="auto"/>
            <w:left w:val="none" w:sz="0" w:space="0" w:color="auto"/>
            <w:bottom w:val="none" w:sz="0" w:space="0" w:color="auto"/>
            <w:right w:val="none" w:sz="0" w:space="0" w:color="auto"/>
          </w:divBdr>
          <w:divsChild>
            <w:div w:id="521092460">
              <w:marLeft w:val="0"/>
              <w:marRight w:val="0"/>
              <w:marTop w:val="0"/>
              <w:marBottom w:val="0"/>
              <w:divBdr>
                <w:top w:val="none" w:sz="0" w:space="0" w:color="auto"/>
                <w:left w:val="none" w:sz="0" w:space="0" w:color="auto"/>
                <w:bottom w:val="none" w:sz="0" w:space="0" w:color="auto"/>
                <w:right w:val="none" w:sz="0" w:space="0" w:color="auto"/>
              </w:divBdr>
            </w:div>
          </w:divsChild>
        </w:div>
        <w:div w:id="1783109613">
          <w:marLeft w:val="0"/>
          <w:marRight w:val="0"/>
          <w:marTop w:val="0"/>
          <w:marBottom w:val="0"/>
          <w:divBdr>
            <w:top w:val="none" w:sz="0" w:space="0" w:color="auto"/>
            <w:left w:val="none" w:sz="0" w:space="0" w:color="auto"/>
            <w:bottom w:val="none" w:sz="0" w:space="0" w:color="auto"/>
            <w:right w:val="none" w:sz="0" w:space="0" w:color="auto"/>
          </w:divBdr>
          <w:divsChild>
            <w:div w:id="376591265">
              <w:marLeft w:val="0"/>
              <w:marRight w:val="0"/>
              <w:marTop w:val="0"/>
              <w:marBottom w:val="0"/>
              <w:divBdr>
                <w:top w:val="none" w:sz="0" w:space="0" w:color="auto"/>
                <w:left w:val="none" w:sz="0" w:space="0" w:color="auto"/>
                <w:bottom w:val="none" w:sz="0" w:space="0" w:color="auto"/>
                <w:right w:val="none" w:sz="0" w:space="0" w:color="auto"/>
              </w:divBdr>
            </w:div>
          </w:divsChild>
        </w:div>
        <w:div w:id="1785148187">
          <w:marLeft w:val="0"/>
          <w:marRight w:val="0"/>
          <w:marTop w:val="0"/>
          <w:marBottom w:val="0"/>
          <w:divBdr>
            <w:top w:val="none" w:sz="0" w:space="0" w:color="auto"/>
            <w:left w:val="none" w:sz="0" w:space="0" w:color="auto"/>
            <w:bottom w:val="none" w:sz="0" w:space="0" w:color="auto"/>
            <w:right w:val="none" w:sz="0" w:space="0" w:color="auto"/>
          </w:divBdr>
          <w:divsChild>
            <w:div w:id="285624111">
              <w:marLeft w:val="0"/>
              <w:marRight w:val="0"/>
              <w:marTop w:val="0"/>
              <w:marBottom w:val="0"/>
              <w:divBdr>
                <w:top w:val="none" w:sz="0" w:space="0" w:color="auto"/>
                <w:left w:val="none" w:sz="0" w:space="0" w:color="auto"/>
                <w:bottom w:val="none" w:sz="0" w:space="0" w:color="auto"/>
                <w:right w:val="none" w:sz="0" w:space="0" w:color="auto"/>
              </w:divBdr>
            </w:div>
          </w:divsChild>
        </w:div>
        <w:div w:id="1785928621">
          <w:marLeft w:val="0"/>
          <w:marRight w:val="0"/>
          <w:marTop w:val="0"/>
          <w:marBottom w:val="0"/>
          <w:divBdr>
            <w:top w:val="none" w:sz="0" w:space="0" w:color="auto"/>
            <w:left w:val="none" w:sz="0" w:space="0" w:color="auto"/>
            <w:bottom w:val="none" w:sz="0" w:space="0" w:color="auto"/>
            <w:right w:val="none" w:sz="0" w:space="0" w:color="auto"/>
          </w:divBdr>
          <w:divsChild>
            <w:div w:id="31461583">
              <w:marLeft w:val="0"/>
              <w:marRight w:val="0"/>
              <w:marTop w:val="0"/>
              <w:marBottom w:val="0"/>
              <w:divBdr>
                <w:top w:val="none" w:sz="0" w:space="0" w:color="auto"/>
                <w:left w:val="none" w:sz="0" w:space="0" w:color="auto"/>
                <w:bottom w:val="none" w:sz="0" w:space="0" w:color="auto"/>
                <w:right w:val="none" w:sz="0" w:space="0" w:color="auto"/>
              </w:divBdr>
            </w:div>
          </w:divsChild>
        </w:div>
        <w:div w:id="1796676751">
          <w:marLeft w:val="0"/>
          <w:marRight w:val="0"/>
          <w:marTop w:val="0"/>
          <w:marBottom w:val="0"/>
          <w:divBdr>
            <w:top w:val="none" w:sz="0" w:space="0" w:color="auto"/>
            <w:left w:val="none" w:sz="0" w:space="0" w:color="auto"/>
            <w:bottom w:val="none" w:sz="0" w:space="0" w:color="auto"/>
            <w:right w:val="none" w:sz="0" w:space="0" w:color="auto"/>
          </w:divBdr>
          <w:divsChild>
            <w:div w:id="649017984">
              <w:marLeft w:val="0"/>
              <w:marRight w:val="0"/>
              <w:marTop w:val="0"/>
              <w:marBottom w:val="0"/>
              <w:divBdr>
                <w:top w:val="none" w:sz="0" w:space="0" w:color="auto"/>
                <w:left w:val="none" w:sz="0" w:space="0" w:color="auto"/>
                <w:bottom w:val="none" w:sz="0" w:space="0" w:color="auto"/>
                <w:right w:val="none" w:sz="0" w:space="0" w:color="auto"/>
              </w:divBdr>
            </w:div>
          </w:divsChild>
        </w:div>
        <w:div w:id="1811316231">
          <w:marLeft w:val="0"/>
          <w:marRight w:val="0"/>
          <w:marTop w:val="0"/>
          <w:marBottom w:val="0"/>
          <w:divBdr>
            <w:top w:val="none" w:sz="0" w:space="0" w:color="auto"/>
            <w:left w:val="none" w:sz="0" w:space="0" w:color="auto"/>
            <w:bottom w:val="none" w:sz="0" w:space="0" w:color="auto"/>
            <w:right w:val="none" w:sz="0" w:space="0" w:color="auto"/>
          </w:divBdr>
          <w:divsChild>
            <w:div w:id="80025988">
              <w:marLeft w:val="0"/>
              <w:marRight w:val="0"/>
              <w:marTop w:val="0"/>
              <w:marBottom w:val="0"/>
              <w:divBdr>
                <w:top w:val="none" w:sz="0" w:space="0" w:color="auto"/>
                <w:left w:val="none" w:sz="0" w:space="0" w:color="auto"/>
                <w:bottom w:val="none" w:sz="0" w:space="0" w:color="auto"/>
                <w:right w:val="none" w:sz="0" w:space="0" w:color="auto"/>
              </w:divBdr>
            </w:div>
          </w:divsChild>
        </w:div>
        <w:div w:id="1812483826">
          <w:marLeft w:val="0"/>
          <w:marRight w:val="0"/>
          <w:marTop w:val="0"/>
          <w:marBottom w:val="0"/>
          <w:divBdr>
            <w:top w:val="none" w:sz="0" w:space="0" w:color="auto"/>
            <w:left w:val="none" w:sz="0" w:space="0" w:color="auto"/>
            <w:bottom w:val="none" w:sz="0" w:space="0" w:color="auto"/>
            <w:right w:val="none" w:sz="0" w:space="0" w:color="auto"/>
          </w:divBdr>
          <w:divsChild>
            <w:div w:id="1415862261">
              <w:marLeft w:val="0"/>
              <w:marRight w:val="0"/>
              <w:marTop w:val="0"/>
              <w:marBottom w:val="0"/>
              <w:divBdr>
                <w:top w:val="none" w:sz="0" w:space="0" w:color="auto"/>
                <w:left w:val="none" w:sz="0" w:space="0" w:color="auto"/>
                <w:bottom w:val="none" w:sz="0" w:space="0" w:color="auto"/>
                <w:right w:val="none" w:sz="0" w:space="0" w:color="auto"/>
              </w:divBdr>
            </w:div>
          </w:divsChild>
        </w:div>
        <w:div w:id="1813864139">
          <w:marLeft w:val="0"/>
          <w:marRight w:val="0"/>
          <w:marTop w:val="0"/>
          <w:marBottom w:val="0"/>
          <w:divBdr>
            <w:top w:val="none" w:sz="0" w:space="0" w:color="auto"/>
            <w:left w:val="none" w:sz="0" w:space="0" w:color="auto"/>
            <w:bottom w:val="none" w:sz="0" w:space="0" w:color="auto"/>
            <w:right w:val="none" w:sz="0" w:space="0" w:color="auto"/>
          </w:divBdr>
          <w:divsChild>
            <w:div w:id="1134055005">
              <w:marLeft w:val="0"/>
              <w:marRight w:val="0"/>
              <w:marTop w:val="0"/>
              <w:marBottom w:val="0"/>
              <w:divBdr>
                <w:top w:val="none" w:sz="0" w:space="0" w:color="auto"/>
                <w:left w:val="none" w:sz="0" w:space="0" w:color="auto"/>
                <w:bottom w:val="none" w:sz="0" w:space="0" w:color="auto"/>
                <w:right w:val="none" w:sz="0" w:space="0" w:color="auto"/>
              </w:divBdr>
            </w:div>
          </w:divsChild>
        </w:div>
        <w:div w:id="1846165531">
          <w:marLeft w:val="0"/>
          <w:marRight w:val="0"/>
          <w:marTop w:val="0"/>
          <w:marBottom w:val="0"/>
          <w:divBdr>
            <w:top w:val="none" w:sz="0" w:space="0" w:color="auto"/>
            <w:left w:val="none" w:sz="0" w:space="0" w:color="auto"/>
            <w:bottom w:val="none" w:sz="0" w:space="0" w:color="auto"/>
            <w:right w:val="none" w:sz="0" w:space="0" w:color="auto"/>
          </w:divBdr>
          <w:divsChild>
            <w:div w:id="822503137">
              <w:marLeft w:val="0"/>
              <w:marRight w:val="0"/>
              <w:marTop w:val="0"/>
              <w:marBottom w:val="0"/>
              <w:divBdr>
                <w:top w:val="none" w:sz="0" w:space="0" w:color="auto"/>
                <w:left w:val="none" w:sz="0" w:space="0" w:color="auto"/>
                <w:bottom w:val="none" w:sz="0" w:space="0" w:color="auto"/>
                <w:right w:val="none" w:sz="0" w:space="0" w:color="auto"/>
              </w:divBdr>
            </w:div>
          </w:divsChild>
        </w:div>
        <w:div w:id="1856648316">
          <w:marLeft w:val="0"/>
          <w:marRight w:val="0"/>
          <w:marTop w:val="0"/>
          <w:marBottom w:val="0"/>
          <w:divBdr>
            <w:top w:val="none" w:sz="0" w:space="0" w:color="auto"/>
            <w:left w:val="none" w:sz="0" w:space="0" w:color="auto"/>
            <w:bottom w:val="none" w:sz="0" w:space="0" w:color="auto"/>
            <w:right w:val="none" w:sz="0" w:space="0" w:color="auto"/>
          </w:divBdr>
          <w:divsChild>
            <w:div w:id="901717597">
              <w:marLeft w:val="0"/>
              <w:marRight w:val="0"/>
              <w:marTop w:val="0"/>
              <w:marBottom w:val="0"/>
              <w:divBdr>
                <w:top w:val="none" w:sz="0" w:space="0" w:color="auto"/>
                <w:left w:val="none" w:sz="0" w:space="0" w:color="auto"/>
                <w:bottom w:val="none" w:sz="0" w:space="0" w:color="auto"/>
                <w:right w:val="none" w:sz="0" w:space="0" w:color="auto"/>
              </w:divBdr>
            </w:div>
          </w:divsChild>
        </w:div>
        <w:div w:id="1860123406">
          <w:marLeft w:val="0"/>
          <w:marRight w:val="0"/>
          <w:marTop w:val="0"/>
          <w:marBottom w:val="0"/>
          <w:divBdr>
            <w:top w:val="none" w:sz="0" w:space="0" w:color="auto"/>
            <w:left w:val="none" w:sz="0" w:space="0" w:color="auto"/>
            <w:bottom w:val="none" w:sz="0" w:space="0" w:color="auto"/>
            <w:right w:val="none" w:sz="0" w:space="0" w:color="auto"/>
          </w:divBdr>
          <w:divsChild>
            <w:div w:id="19748376">
              <w:marLeft w:val="0"/>
              <w:marRight w:val="0"/>
              <w:marTop w:val="0"/>
              <w:marBottom w:val="0"/>
              <w:divBdr>
                <w:top w:val="none" w:sz="0" w:space="0" w:color="auto"/>
                <w:left w:val="none" w:sz="0" w:space="0" w:color="auto"/>
                <w:bottom w:val="none" w:sz="0" w:space="0" w:color="auto"/>
                <w:right w:val="none" w:sz="0" w:space="0" w:color="auto"/>
              </w:divBdr>
            </w:div>
          </w:divsChild>
        </w:div>
        <w:div w:id="1872717820">
          <w:marLeft w:val="0"/>
          <w:marRight w:val="0"/>
          <w:marTop w:val="0"/>
          <w:marBottom w:val="0"/>
          <w:divBdr>
            <w:top w:val="none" w:sz="0" w:space="0" w:color="auto"/>
            <w:left w:val="none" w:sz="0" w:space="0" w:color="auto"/>
            <w:bottom w:val="none" w:sz="0" w:space="0" w:color="auto"/>
            <w:right w:val="none" w:sz="0" w:space="0" w:color="auto"/>
          </w:divBdr>
          <w:divsChild>
            <w:div w:id="486555959">
              <w:marLeft w:val="0"/>
              <w:marRight w:val="0"/>
              <w:marTop w:val="0"/>
              <w:marBottom w:val="0"/>
              <w:divBdr>
                <w:top w:val="none" w:sz="0" w:space="0" w:color="auto"/>
                <w:left w:val="none" w:sz="0" w:space="0" w:color="auto"/>
                <w:bottom w:val="none" w:sz="0" w:space="0" w:color="auto"/>
                <w:right w:val="none" w:sz="0" w:space="0" w:color="auto"/>
              </w:divBdr>
            </w:div>
          </w:divsChild>
        </w:div>
        <w:div w:id="1905489341">
          <w:marLeft w:val="0"/>
          <w:marRight w:val="0"/>
          <w:marTop w:val="0"/>
          <w:marBottom w:val="0"/>
          <w:divBdr>
            <w:top w:val="none" w:sz="0" w:space="0" w:color="auto"/>
            <w:left w:val="none" w:sz="0" w:space="0" w:color="auto"/>
            <w:bottom w:val="none" w:sz="0" w:space="0" w:color="auto"/>
            <w:right w:val="none" w:sz="0" w:space="0" w:color="auto"/>
          </w:divBdr>
          <w:divsChild>
            <w:div w:id="745810403">
              <w:marLeft w:val="0"/>
              <w:marRight w:val="0"/>
              <w:marTop w:val="0"/>
              <w:marBottom w:val="0"/>
              <w:divBdr>
                <w:top w:val="none" w:sz="0" w:space="0" w:color="auto"/>
                <w:left w:val="none" w:sz="0" w:space="0" w:color="auto"/>
                <w:bottom w:val="none" w:sz="0" w:space="0" w:color="auto"/>
                <w:right w:val="none" w:sz="0" w:space="0" w:color="auto"/>
              </w:divBdr>
            </w:div>
          </w:divsChild>
        </w:div>
        <w:div w:id="1907839960">
          <w:marLeft w:val="0"/>
          <w:marRight w:val="0"/>
          <w:marTop w:val="0"/>
          <w:marBottom w:val="0"/>
          <w:divBdr>
            <w:top w:val="none" w:sz="0" w:space="0" w:color="auto"/>
            <w:left w:val="none" w:sz="0" w:space="0" w:color="auto"/>
            <w:bottom w:val="none" w:sz="0" w:space="0" w:color="auto"/>
            <w:right w:val="none" w:sz="0" w:space="0" w:color="auto"/>
          </w:divBdr>
          <w:divsChild>
            <w:div w:id="1946496233">
              <w:marLeft w:val="0"/>
              <w:marRight w:val="0"/>
              <w:marTop w:val="0"/>
              <w:marBottom w:val="0"/>
              <w:divBdr>
                <w:top w:val="none" w:sz="0" w:space="0" w:color="auto"/>
                <w:left w:val="none" w:sz="0" w:space="0" w:color="auto"/>
                <w:bottom w:val="none" w:sz="0" w:space="0" w:color="auto"/>
                <w:right w:val="none" w:sz="0" w:space="0" w:color="auto"/>
              </w:divBdr>
            </w:div>
          </w:divsChild>
        </w:div>
        <w:div w:id="1908563967">
          <w:marLeft w:val="0"/>
          <w:marRight w:val="0"/>
          <w:marTop w:val="0"/>
          <w:marBottom w:val="0"/>
          <w:divBdr>
            <w:top w:val="none" w:sz="0" w:space="0" w:color="auto"/>
            <w:left w:val="none" w:sz="0" w:space="0" w:color="auto"/>
            <w:bottom w:val="none" w:sz="0" w:space="0" w:color="auto"/>
            <w:right w:val="none" w:sz="0" w:space="0" w:color="auto"/>
          </w:divBdr>
          <w:divsChild>
            <w:div w:id="72558140">
              <w:marLeft w:val="0"/>
              <w:marRight w:val="0"/>
              <w:marTop w:val="0"/>
              <w:marBottom w:val="0"/>
              <w:divBdr>
                <w:top w:val="none" w:sz="0" w:space="0" w:color="auto"/>
                <w:left w:val="none" w:sz="0" w:space="0" w:color="auto"/>
                <w:bottom w:val="none" w:sz="0" w:space="0" w:color="auto"/>
                <w:right w:val="none" w:sz="0" w:space="0" w:color="auto"/>
              </w:divBdr>
            </w:div>
          </w:divsChild>
        </w:div>
        <w:div w:id="1935821167">
          <w:marLeft w:val="0"/>
          <w:marRight w:val="0"/>
          <w:marTop w:val="0"/>
          <w:marBottom w:val="0"/>
          <w:divBdr>
            <w:top w:val="none" w:sz="0" w:space="0" w:color="auto"/>
            <w:left w:val="none" w:sz="0" w:space="0" w:color="auto"/>
            <w:bottom w:val="none" w:sz="0" w:space="0" w:color="auto"/>
            <w:right w:val="none" w:sz="0" w:space="0" w:color="auto"/>
          </w:divBdr>
          <w:divsChild>
            <w:div w:id="1143887361">
              <w:marLeft w:val="0"/>
              <w:marRight w:val="0"/>
              <w:marTop w:val="0"/>
              <w:marBottom w:val="0"/>
              <w:divBdr>
                <w:top w:val="none" w:sz="0" w:space="0" w:color="auto"/>
                <w:left w:val="none" w:sz="0" w:space="0" w:color="auto"/>
                <w:bottom w:val="none" w:sz="0" w:space="0" w:color="auto"/>
                <w:right w:val="none" w:sz="0" w:space="0" w:color="auto"/>
              </w:divBdr>
            </w:div>
          </w:divsChild>
        </w:div>
        <w:div w:id="1946113691">
          <w:marLeft w:val="0"/>
          <w:marRight w:val="0"/>
          <w:marTop w:val="0"/>
          <w:marBottom w:val="0"/>
          <w:divBdr>
            <w:top w:val="none" w:sz="0" w:space="0" w:color="auto"/>
            <w:left w:val="none" w:sz="0" w:space="0" w:color="auto"/>
            <w:bottom w:val="none" w:sz="0" w:space="0" w:color="auto"/>
            <w:right w:val="none" w:sz="0" w:space="0" w:color="auto"/>
          </w:divBdr>
          <w:divsChild>
            <w:div w:id="295188387">
              <w:marLeft w:val="0"/>
              <w:marRight w:val="0"/>
              <w:marTop w:val="0"/>
              <w:marBottom w:val="0"/>
              <w:divBdr>
                <w:top w:val="none" w:sz="0" w:space="0" w:color="auto"/>
                <w:left w:val="none" w:sz="0" w:space="0" w:color="auto"/>
                <w:bottom w:val="none" w:sz="0" w:space="0" w:color="auto"/>
                <w:right w:val="none" w:sz="0" w:space="0" w:color="auto"/>
              </w:divBdr>
            </w:div>
          </w:divsChild>
        </w:div>
        <w:div w:id="1972128587">
          <w:marLeft w:val="0"/>
          <w:marRight w:val="0"/>
          <w:marTop w:val="0"/>
          <w:marBottom w:val="0"/>
          <w:divBdr>
            <w:top w:val="none" w:sz="0" w:space="0" w:color="auto"/>
            <w:left w:val="none" w:sz="0" w:space="0" w:color="auto"/>
            <w:bottom w:val="none" w:sz="0" w:space="0" w:color="auto"/>
            <w:right w:val="none" w:sz="0" w:space="0" w:color="auto"/>
          </w:divBdr>
          <w:divsChild>
            <w:div w:id="65148899">
              <w:marLeft w:val="0"/>
              <w:marRight w:val="0"/>
              <w:marTop w:val="0"/>
              <w:marBottom w:val="0"/>
              <w:divBdr>
                <w:top w:val="none" w:sz="0" w:space="0" w:color="auto"/>
                <w:left w:val="none" w:sz="0" w:space="0" w:color="auto"/>
                <w:bottom w:val="none" w:sz="0" w:space="0" w:color="auto"/>
                <w:right w:val="none" w:sz="0" w:space="0" w:color="auto"/>
              </w:divBdr>
            </w:div>
          </w:divsChild>
        </w:div>
        <w:div w:id="2017413275">
          <w:marLeft w:val="0"/>
          <w:marRight w:val="0"/>
          <w:marTop w:val="0"/>
          <w:marBottom w:val="0"/>
          <w:divBdr>
            <w:top w:val="none" w:sz="0" w:space="0" w:color="auto"/>
            <w:left w:val="none" w:sz="0" w:space="0" w:color="auto"/>
            <w:bottom w:val="none" w:sz="0" w:space="0" w:color="auto"/>
            <w:right w:val="none" w:sz="0" w:space="0" w:color="auto"/>
          </w:divBdr>
          <w:divsChild>
            <w:div w:id="215943462">
              <w:marLeft w:val="0"/>
              <w:marRight w:val="0"/>
              <w:marTop w:val="0"/>
              <w:marBottom w:val="0"/>
              <w:divBdr>
                <w:top w:val="none" w:sz="0" w:space="0" w:color="auto"/>
                <w:left w:val="none" w:sz="0" w:space="0" w:color="auto"/>
                <w:bottom w:val="none" w:sz="0" w:space="0" w:color="auto"/>
                <w:right w:val="none" w:sz="0" w:space="0" w:color="auto"/>
              </w:divBdr>
            </w:div>
          </w:divsChild>
        </w:div>
        <w:div w:id="2018341378">
          <w:marLeft w:val="0"/>
          <w:marRight w:val="0"/>
          <w:marTop w:val="0"/>
          <w:marBottom w:val="0"/>
          <w:divBdr>
            <w:top w:val="none" w:sz="0" w:space="0" w:color="auto"/>
            <w:left w:val="none" w:sz="0" w:space="0" w:color="auto"/>
            <w:bottom w:val="none" w:sz="0" w:space="0" w:color="auto"/>
            <w:right w:val="none" w:sz="0" w:space="0" w:color="auto"/>
          </w:divBdr>
          <w:divsChild>
            <w:div w:id="581373959">
              <w:marLeft w:val="0"/>
              <w:marRight w:val="0"/>
              <w:marTop w:val="0"/>
              <w:marBottom w:val="0"/>
              <w:divBdr>
                <w:top w:val="none" w:sz="0" w:space="0" w:color="auto"/>
                <w:left w:val="none" w:sz="0" w:space="0" w:color="auto"/>
                <w:bottom w:val="none" w:sz="0" w:space="0" w:color="auto"/>
                <w:right w:val="none" w:sz="0" w:space="0" w:color="auto"/>
              </w:divBdr>
            </w:div>
          </w:divsChild>
        </w:div>
        <w:div w:id="2025206736">
          <w:marLeft w:val="0"/>
          <w:marRight w:val="0"/>
          <w:marTop w:val="0"/>
          <w:marBottom w:val="0"/>
          <w:divBdr>
            <w:top w:val="none" w:sz="0" w:space="0" w:color="auto"/>
            <w:left w:val="none" w:sz="0" w:space="0" w:color="auto"/>
            <w:bottom w:val="none" w:sz="0" w:space="0" w:color="auto"/>
            <w:right w:val="none" w:sz="0" w:space="0" w:color="auto"/>
          </w:divBdr>
          <w:divsChild>
            <w:div w:id="538394818">
              <w:marLeft w:val="0"/>
              <w:marRight w:val="0"/>
              <w:marTop w:val="0"/>
              <w:marBottom w:val="0"/>
              <w:divBdr>
                <w:top w:val="none" w:sz="0" w:space="0" w:color="auto"/>
                <w:left w:val="none" w:sz="0" w:space="0" w:color="auto"/>
                <w:bottom w:val="none" w:sz="0" w:space="0" w:color="auto"/>
                <w:right w:val="none" w:sz="0" w:space="0" w:color="auto"/>
              </w:divBdr>
            </w:div>
          </w:divsChild>
        </w:div>
        <w:div w:id="2076271903">
          <w:marLeft w:val="0"/>
          <w:marRight w:val="0"/>
          <w:marTop w:val="0"/>
          <w:marBottom w:val="0"/>
          <w:divBdr>
            <w:top w:val="none" w:sz="0" w:space="0" w:color="auto"/>
            <w:left w:val="none" w:sz="0" w:space="0" w:color="auto"/>
            <w:bottom w:val="none" w:sz="0" w:space="0" w:color="auto"/>
            <w:right w:val="none" w:sz="0" w:space="0" w:color="auto"/>
          </w:divBdr>
          <w:divsChild>
            <w:div w:id="1044670695">
              <w:marLeft w:val="0"/>
              <w:marRight w:val="0"/>
              <w:marTop w:val="0"/>
              <w:marBottom w:val="0"/>
              <w:divBdr>
                <w:top w:val="none" w:sz="0" w:space="0" w:color="auto"/>
                <w:left w:val="none" w:sz="0" w:space="0" w:color="auto"/>
                <w:bottom w:val="none" w:sz="0" w:space="0" w:color="auto"/>
                <w:right w:val="none" w:sz="0" w:space="0" w:color="auto"/>
              </w:divBdr>
            </w:div>
          </w:divsChild>
        </w:div>
        <w:div w:id="2084527354">
          <w:marLeft w:val="0"/>
          <w:marRight w:val="0"/>
          <w:marTop w:val="0"/>
          <w:marBottom w:val="0"/>
          <w:divBdr>
            <w:top w:val="none" w:sz="0" w:space="0" w:color="auto"/>
            <w:left w:val="none" w:sz="0" w:space="0" w:color="auto"/>
            <w:bottom w:val="none" w:sz="0" w:space="0" w:color="auto"/>
            <w:right w:val="none" w:sz="0" w:space="0" w:color="auto"/>
          </w:divBdr>
          <w:divsChild>
            <w:div w:id="10837932">
              <w:marLeft w:val="0"/>
              <w:marRight w:val="0"/>
              <w:marTop w:val="0"/>
              <w:marBottom w:val="0"/>
              <w:divBdr>
                <w:top w:val="none" w:sz="0" w:space="0" w:color="auto"/>
                <w:left w:val="none" w:sz="0" w:space="0" w:color="auto"/>
                <w:bottom w:val="none" w:sz="0" w:space="0" w:color="auto"/>
                <w:right w:val="none" w:sz="0" w:space="0" w:color="auto"/>
              </w:divBdr>
            </w:div>
          </w:divsChild>
        </w:div>
        <w:div w:id="2084717260">
          <w:marLeft w:val="0"/>
          <w:marRight w:val="0"/>
          <w:marTop w:val="0"/>
          <w:marBottom w:val="0"/>
          <w:divBdr>
            <w:top w:val="none" w:sz="0" w:space="0" w:color="auto"/>
            <w:left w:val="none" w:sz="0" w:space="0" w:color="auto"/>
            <w:bottom w:val="none" w:sz="0" w:space="0" w:color="auto"/>
            <w:right w:val="none" w:sz="0" w:space="0" w:color="auto"/>
          </w:divBdr>
          <w:divsChild>
            <w:div w:id="2086797599">
              <w:marLeft w:val="0"/>
              <w:marRight w:val="0"/>
              <w:marTop w:val="0"/>
              <w:marBottom w:val="0"/>
              <w:divBdr>
                <w:top w:val="none" w:sz="0" w:space="0" w:color="auto"/>
                <w:left w:val="none" w:sz="0" w:space="0" w:color="auto"/>
                <w:bottom w:val="none" w:sz="0" w:space="0" w:color="auto"/>
                <w:right w:val="none" w:sz="0" w:space="0" w:color="auto"/>
              </w:divBdr>
            </w:div>
          </w:divsChild>
        </w:div>
        <w:div w:id="2107531913">
          <w:marLeft w:val="0"/>
          <w:marRight w:val="0"/>
          <w:marTop w:val="0"/>
          <w:marBottom w:val="0"/>
          <w:divBdr>
            <w:top w:val="none" w:sz="0" w:space="0" w:color="auto"/>
            <w:left w:val="none" w:sz="0" w:space="0" w:color="auto"/>
            <w:bottom w:val="none" w:sz="0" w:space="0" w:color="auto"/>
            <w:right w:val="none" w:sz="0" w:space="0" w:color="auto"/>
          </w:divBdr>
          <w:divsChild>
            <w:div w:id="411659518">
              <w:marLeft w:val="0"/>
              <w:marRight w:val="0"/>
              <w:marTop w:val="0"/>
              <w:marBottom w:val="0"/>
              <w:divBdr>
                <w:top w:val="none" w:sz="0" w:space="0" w:color="auto"/>
                <w:left w:val="none" w:sz="0" w:space="0" w:color="auto"/>
                <w:bottom w:val="none" w:sz="0" w:space="0" w:color="auto"/>
                <w:right w:val="none" w:sz="0" w:space="0" w:color="auto"/>
              </w:divBdr>
            </w:div>
          </w:divsChild>
        </w:div>
        <w:div w:id="2107772336">
          <w:marLeft w:val="0"/>
          <w:marRight w:val="0"/>
          <w:marTop w:val="0"/>
          <w:marBottom w:val="0"/>
          <w:divBdr>
            <w:top w:val="none" w:sz="0" w:space="0" w:color="auto"/>
            <w:left w:val="none" w:sz="0" w:space="0" w:color="auto"/>
            <w:bottom w:val="none" w:sz="0" w:space="0" w:color="auto"/>
            <w:right w:val="none" w:sz="0" w:space="0" w:color="auto"/>
          </w:divBdr>
          <w:divsChild>
            <w:div w:id="2049180435">
              <w:marLeft w:val="0"/>
              <w:marRight w:val="0"/>
              <w:marTop w:val="0"/>
              <w:marBottom w:val="0"/>
              <w:divBdr>
                <w:top w:val="none" w:sz="0" w:space="0" w:color="auto"/>
                <w:left w:val="none" w:sz="0" w:space="0" w:color="auto"/>
                <w:bottom w:val="none" w:sz="0" w:space="0" w:color="auto"/>
                <w:right w:val="none" w:sz="0" w:space="0" w:color="auto"/>
              </w:divBdr>
            </w:div>
          </w:divsChild>
        </w:div>
        <w:div w:id="2110352215">
          <w:marLeft w:val="0"/>
          <w:marRight w:val="0"/>
          <w:marTop w:val="0"/>
          <w:marBottom w:val="0"/>
          <w:divBdr>
            <w:top w:val="none" w:sz="0" w:space="0" w:color="auto"/>
            <w:left w:val="none" w:sz="0" w:space="0" w:color="auto"/>
            <w:bottom w:val="none" w:sz="0" w:space="0" w:color="auto"/>
            <w:right w:val="none" w:sz="0" w:space="0" w:color="auto"/>
          </w:divBdr>
          <w:divsChild>
            <w:div w:id="1692805409">
              <w:marLeft w:val="0"/>
              <w:marRight w:val="0"/>
              <w:marTop w:val="0"/>
              <w:marBottom w:val="0"/>
              <w:divBdr>
                <w:top w:val="none" w:sz="0" w:space="0" w:color="auto"/>
                <w:left w:val="none" w:sz="0" w:space="0" w:color="auto"/>
                <w:bottom w:val="none" w:sz="0" w:space="0" w:color="auto"/>
                <w:right w:val="none" w:sz="0" w:space="0" w:color="auto"/>
              </w:divBdr>
            </w:div>
          </w:divsChild>
        </w:div>
        <w:div w:id="2113477646">
          <w:marLeft w:val="0"/>
          <w:marRight w:val="0"/>
          <w:marTop w:val="0"/>
          <w:marBottom w:val="0"/>
          <w:divBdr>
            <w:top w:val="none" w:sz="0" w:space="0" w:color="auto"/>
            <w:left w:val="none" w:sz="0" w:space="0" w:color="auto"/>
            <w:bottom w:val="none" w:sz="0" w:space="0" w:color="auto"/>
            <w:right w:val="none" w:sz="0" w:space="0" w:color="auto"/>
          </w:divBdr>
          <w:divsChild>
            <w:div w:id="1506477603">
              <w:marLeft w:val="0"/>
              <w:marRight w:val="0"/>
              <w:marTop w:val="0"/>
              <w:marBottom w:val="0"/>
              <w:divBdr>
                <w:top w:val="none" w:sz="0" w:space="0" w:color="auto"/>
                <w:left w:val="none" w:sz="0" w:space="0" w:color="auto"/>
                <w:bottom w:val="none" w:sz="0" w:space="0" w:color="auto"/>
                <w:right w:val="none" w:sz="0" w:space="0" w:color="auto"/>
              </w:divBdr>
            </w:div>
          </w:divsChild>
        </w:div>
        <w:div w:id="2116511144">
          <w:marLeft w:val="0"/>
          <w:marRight w:val="0"/>
          <w:marTop w:val="0"/>
          <w:marBottom w:val="0"/>
          <w:divBdr>
            <w:top w:val="none" w:sz="0" w:space="0" w:color="auto"/>
            <w:left w:val="none" w:sz="0" w:space="0" w:color="auto"/>
            <w:bottom w:val="none" w:sz="0" w:space="0" w:color="auto"/>
            <w:right w:val="none" w:sz="0" w:space="0" w:color="auto"/>
          </w:divBdr>
          <w:divsChild>
            <w:div w:id="45692208">
              <w:marLeft w:val="0"/>
              <w:marRight w:val="0"/>
              <w:marTop w:val="0"/>
              <w:marBottom w:val="0"/>
              <w:divBdr>
                <w:top w:val="none" w:sz="0" w:space="0" w:color="auto"/>
                <w:left w:val="none" w:sz="0" w:space="0" w:color="auto"/>
                <w:bottom w:val="none" w:sz="0" w:space="0" w:color="auto"/>
                <w:right w:val="none" w:sz="0" w:space="0" w:color="auto"/>
              </w:divBdr>
            </w:div>
          </w:divsChild>
        </w:div>
        <w:div w:id="2116946537">
          <w:marLeft w:val="0"/>
          <w:marRight w:val="0"/>
          <w:marTop w:val="0"/>
          <w:marBottom w:val="0"/>
          <w:divBdr>
            <w:top w:val="none" w:sz="0" w:space="0" w:color="auto"/>
            <w:left w:val="none" w:sz="0" w:space="0" w:color="auto"/>
            <w:bottom w:val="none" w:sz="0" w:space="0" w:color="auto"/>
            <w:right w:val="none" w:sz="0" w:space="0" w:color="auto"/>
          </w:divBdr>
          <w:divsChild>
            <w:div w:id="3396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2504">
      <w:bodyDiv w:val="1"/>
      <w:marLeft w:val="0"/>
      <w:marRight w:val="0"/>
      <w:marTop w:val="0"/>
      <w:marBottom w:val="0"/>
      <w:divBdr>
        <w:top w:val="none" w:sz="0" w:space="0" w:color="auto"/>
        <w:left w:val="none" w:sz="0" w:space="0" w:color="auto"/>
        <w:bottom w:val="none" w:sz="0" w:space="0" w:color="auto"/>
        <w:right w:val="none" w:sz="0" w:space="0" w:color="auto"/>
      </w:divBdr>
      <w:divsChild>
        <w:div w:id="676881143">
          <w:marLeft w:val="0"/>
          <w:marRight w:val="0"/>
          <w:marTop w:val="0"/>
          <w:marBottom w:val="0"/>
          <w:divBdr>
            <w:top w:val="none" w:sz="0" w:space="0" w:color="auto"/>
            <w:left w:val="none" w:sz="0" w:space="0" w:color="auto"/>
            <w:bottom w:val="none" w:sz="0" w:space="0" w:color="auto"/>
            <w:right w:val="none" w:sz="0" w:space="0" w:color="auto"/>
          </w:divBdr>
          <w:divsChild>
            <w:div w:id="1759981766">
              <w:marLeft w:val="0"/>
              <w:marRight w:val="0"/>
              <w:marTop w:val="0"/>
              <w:marBottom w:val="0"/>
              <w:divBdr>
                <w:top w:val="none" w:sz="0" w:space="0" w:color="auto"/>
                <w:left w:val="none" w:sz="0" w:space="0" w:color="auto"/>
                <w:bottom w:val="none" w:sz="0" w:space="0" w:color="auto"/>
                <w:right w:val="none" w:sz="0" w:space="0" w:color="auto"/>
              </w:divBdr>
              <w:divsChild>
                <w:div w:id="2124033667">
                  <w:marLeft w:val="0"/>
                  <w:marRight w:val="0"/>
                  <w:marTop w:val="0"/>
                  <w:marBottom w:val="0"/>
                  <w:divBdr>
                    <w:top w:val="none" w:sz="0" w:space="0" w:color="auto"/>
                    <w:left w:val="none" w:sz="0" w:space="0" w:color="auto"/>
                    <w:bottom w:val="none" w:sz="0" w:space="0" w:color="auto"/>
                    <w:right w:val="none" w:sz="0" w:space="0" w:color="auto"/>
                  </w:divBdr>
                  <w:divsChild>
                    <w:div w:id="1004625960">
                      <w:marLeft w:val="0"/>
                      <w:marRight w:val="0"/>
                      <w:marTop w:val="0"/>
                      <w:marBottom w:val="0"/>
                      <w:divBdr>
                        <w:top w:val="none" w:sz="0" w:space="0" w:color="auto"/>
                        <w:left w:val="none" w:sz="0" w:space="0" w:color="auto"/>
                        <w:bottom w:val="none" w:sz="0" w:space="0" w:color="auto"/>
                        <w:right w:val="none" w:sz="0" w:space="0" w:color="auto"/>
                      </w:divBdr>
                      <w:divsChild>
                        <w:div w:id="1100373827">
                          <w:marLeft w:val="0"/>
                          <w:marRight w:val="0"/>
                          <w:marTop w:val="0"/>
                          <w:marBottom w:val="0"/>
                          <w:divBdr>
                            <w:top w:val="none" w:sz="0" w:space="0" w:color="auto"/>
                            <w:left w:val="none" w:sz="0" w:space="0" w:color="auto"/>
                            <w:bottom w:val="none" w:sz="0" w:space="0" w:color="auto"/>
                            <w:right w:val="none" w:sz="0" w:space="0" w:color="auto"/>
                          </w:divBdr>
                          <w:divsChild>
                            <w:div w:id="1579628289">
                              <w:marLeft w:val="0"/>
                              <w:marRight w:val="0"/>
                              <w:marTop w:val="0"/>
                              <w:marBottom w:val="0"/>
                              <w:divBdr>
                                <w:top w:val="none" w:sz="0" w:space="0" w:color="auto"/>
                                <w:left w:val="none" w:sz="0" w:space="0" w:color="auto"/>
                                <w:bottom w:val="none" w:sz="0" w:space="0" w:color="auto"/>
                                <w:right w:val="none" w:sz="0" w:space="0" w:color="auto"/>
                              </w:divBdr>
                              <w:divsChild>
                                <w:div w:id="1389184417">
                                  <w:marLeft w:val="0"/>
                                  <w:marRight w:val="0"/>
                                  <w:marTop w:val="0"/>
                                  <w:marBottom w:val="0"/>
                                  <w:divBdr>
                                    <w:top w:val="none" w:sz="0" w:space="0" w:color="auto"/>
                                    <w:left w:val="none" w:sz="0" w:space="0" w:color="auto"/>
                                    <w:bottom w:val="none" w:sz="0" w:space="0" w:color="auto"/>
                                    <w:right w:val="none" w:sz="0" w:space="0" w:color="auto"/>
                                  </w:divBdr>
                                  <w:divsChild>
                                    <w:div w:id="1994094526">
                                      <w:marLeft w:val="0"/>
                                      <w:marRight w:val="0"/>
                                      <w:marTop w:val="0"/>
                                      <w:marBottom w:val="0"/>
                                      <w:divBdr>
                                        <w:top w:val="none" w:sz="0" w:space="0" w:color="auto"/>
                                        <w:left w:val="none" w:sz="0" w:space="0" w:color="auto"/>
                                        <w:bottom w:val="none" w:sz="0" w:space="0" w:color="auto"/>
                                        <w:right w:val="none" w:sz="0" w:space="0" w:color="auto"/>
                                      </w:divBdr>
                                      <w:divsChild>
                                        <w:div w:id="160775842">
                                          <w:marLeft w:val="0"/>
                                          <w:marRight w:val="0"/>
                                          <w:marTop w:val="0"/>
                                          <w:marBottom w:val="0"/>
                                          <w:divBdr>
                                            <w:top w:val="none" w:sz="0" w:space="0" w:color="auto"/>
                                            <w:left w:val="none" w:sz="0" w:space="0" w:color="auto"/>
                                            <w:bottom w:val="none" w:sz="0" w:space="0" w:color="auto"/>
                                            <w:right w:val="none" w:sz="0" w:space="0" w:color="auto"/>
                                          </w:divBdr>
                                          <w:divsChild>
                                            <w:div w:id="767392063">
                                              <w:marLeft w:val="0"/>
                                              <w:marRight w:val="0"/>
                                              <w:marTop w:val="0"/>
                                              <w:marBottom w:val="0"/>
                                              <w:divBdr>
                                                <w:top w:val="none" w:sz="0" w:space="0" w:color="auto"/>
                                                <w:left w:val="none" w:sz="0" w:space="0" w:color="auto"/>
                                                <w:bottom w:val="none" w:sz="0" w:space="0" w:color="auto"/>
                                                <w:right w:val="none" w:sz="0" w:space="0" w:color="auto"/>
                                              </w:divBdr>
                                              <w:divsChild>
                                                <w:div w:id="1599680927">
                                                  <w:marLeft w:val="0"/>
                                                  <w:marRight w:val="0"/>
                                                  <w:marTop w:val="0"/>
                                                  <w:marBottom w:val="0"/>
                                                  <w:divBdr>
                                                    <w:top w:val="none" w:sz="0" w:space="0" w:color="auto"/>
                                                    <w:left w:val="none" w:sz="0" w:space="0" w:color="auto"/>
                                                    <w:bottom w:val="none" w:sz="0" w:space="0" w:color="auto"/>
                                                    <w:right w:val="none" w:sz="0" w:space="0" w:color="auto"/>
                                                  </w:divBdr>
                                                  <w:divsChild>
                                                    <w:div w:id="877007602">
                                                      <w:marLeft w:val="0"/>
                                                      <w:marRight w:val="0"/>
                                                      <w:marTop w:val="0"/>
                                                      <w:marBottom w:val="0"/>
                                                      <w:divBdr>
                                                        <w:top w:val="none" w:sz="0" w:space="0" w:color="auto"/>
                                                        <w:left w:val="none" w:sz="0" w:space="0" w:color="auto"/>
                                                        <w:bottom w:val="none" w:sz="0" w:space="0" w:color="auto"/>
                                                        <w:right w:val="none" w:sz="0" w:space="0" w:color="auto"/>
                                                      </w:divBdr>
                                                      <w:divsChild>
                                                        <w:div w:id="1143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2884165">
      <w:bodyDiv w:val="1"/>
      <w:marLeft w:val="0"/>
      <w:marRight w:val="0"/>
      <w:marTop w:val="0"/>
      <w:marBottom w:val="0"/>
      <w:divBdr>
        <w:top w:val="none" w:sz="0" w:space="0" w:color="auto"/>
        <w:left w:val="none" w:sz="0" w:space="0" w:color="auto"/>
        <w:bottom w:val="none" w:sz="0" w:space="0" w:color="auto"/>
        <w:right w:val="none" w:sz="0" w:space="0" w:color="auto"/>
      </w:divBdr>
    </w:div>
    <w:div w:id="1433011521">
      <w:bodyDiv w:val="1"/>
      <w:marLeft w:val="0"/>
      <w:marRight w:val="0"/>
      <w:marTop w:val="0"/>
      <w:marBottom w:val="0"/>
      <w:divBdr>
        <w:top w:val="none" w:sz="0" w:space="0" w:color="auto"/>
        <w:left w:val="none" w:sz="0" w:space="0" w:color="auto"/>
        <w:bottom w:val="none" w:sz="0" w:space="0" w:color="auto"/>
        <w:right w:val="none" w:sz="0" w:space="0" w:color="auto"/>
      </w:divBdr>
      <w:divsChild>
        <w:div w:id="9264149">
          <w:marLeft w:val="0"/>
          <w:marRight w:val="0"/>
          <w:marTop w:val="0"/>
          <w:marBottom w:val="0"/>
          <w:divBdr>
            <w:top w:val="none" w:sz="0" w:space="0" w:color="auto"/>
            <w:left w:val="none" w:sz="0" w:space="0" w:color="auto"/>
            <w:bottom w:val="none" w:sz="0" w:space="0" w:color="auto"/>
            <w:right w:val="none" w:sz="0" w:space="0" w:color="auto"/>
          </w:divBdr>
          <w:divsChild>
            <w:div w:id="736244536">
              <w:marLeft w:val="0"/>
              <w:marRight w:val="0"/>
              <w:marTop w:val="0"/>
              <w:marBottom w:val="0"/>
              <w:divBdr>
                <w:top w:val="none" w:sz="0" w:space="0" w:color="auto"/>
                <w:left w:val="none" w:sz="0" w:space="0" w:color="auto"/>
                <w:bottom w:val="none" w:sz="0" w:space="0" w:color="auto"/>
                <w:right w:val="none" w:sz="0" w:space="0" w:color="auto"/>
              </w:divBdr>
            </w:div>
          </w:divsChild>
        </w:div>
        <w:div w:id="33358207">
          <w:marLeft w:val="0"/>
          <w:marRight w:val="0"/>
          <w:marTop w:val="0"/>
          <w:marBottom w:val="0"/>
          <w:divBdr>
            <w:top w:val="none" w:sz="0" w:space="0" w:color="auto"/>
            <w:left w:val="none" w:sz="0" w:space="0" w:color="auto"/>
            <w:bottom w:val="none" w:sz="0" w:space="0" w:color="auto"/>
            <w:right w:val="none" w:sz="0" w:space="0" w:color="auto"/>
          </w:divBdr>
          <w:divsChild>
            <w:div w:id="602104852">
              <w:marLeft w:val="0"/>
              <w:marRight w:val="0"/>
              <w:marTop w:val="0"/>
              <w:marBottom w:val="0"/>
              <w:divBdr>
                <w:top w:val="none" w:sz="0" w:space="0" w:color="auto"/>
                <w:left w:val="none" w:sz="0" w:space="0" w:color="auto"/>
                <w:bottom w:val="none" w:sz="0" w:space="0" w:color="auto"/>
                <w:right w:val="none" w:sz="0" w:space="0" w:color="auto"/>
              </w:divBdr>
            </w:div>
          </w:divsChild>
        </w:div>
        <w:div w:id="69500198">
          <w:marLeft w:val="0"/>
          <w:marRight w:val="0"/>
          <w:marTop w:val="0"/>
          <w:marBottom w:val="0"/>
          <w:divBdr>
            <w:top w:val="none" w:sz="0" w:space="0" w:color="auto"/>
            <w:left w:val="none" w:sz="0" w:space="0" w:color="auto"/>
            <w:bottom w:val="none" w:sz="0" w:space="0" w:color="auto"/>
            <w:right w:val="none" w:sz="0" w:space="0" w:color="auto"/>
          </w:divBdr>
          <w:divsChild>
            <w:div w:id="1411153395">
              <w:marLeft w:val="0"/>
              <w:marRight w:val="0"/>
              <w:marTop w:val="0"/>
              <w:marBottom w:val="0"/>
              <w:divBdr>
                <w:top w:val="none" w:sz="0" w:space="0" w:color="auto"/>
                <w:left w:val="none" w:sz="0" w:space="0" w:color="auto"/>
                <w:bottom w:val="none" w:sz="0" w:space="0" w:color="auto"/>
                <w:right w:val="none" w:sz="0" w:space="0" w:color="auto"/>
              </w:divBdr>
            </w:div>
          </w:divsChild>
        </w:div>
        <w:div w:id="74396773">
          <w:marLeft w:val="0"/>
          <w:marRight w:val="0"/>
          <w:marTop w:val="0"/>
          <w:marBottom w:val="0"/>
          <w:divBdr>
            <w:top w:val="none" w:sz="0" w:space="0" w:color="auto"/>
            <w:left w:val="none" w:sz="0" w:space="0" w:color="auto"/>
            <w:bottom w:val="none" w:sz="0" w:space="0" w:color="auto"/>
            <w:right w:val="none" w:sz="0" w:space="0" w:color="auto"/>
          </w:divBdr>
          <w:divsChild>
            <w:div w:id="1104494259">
              <w:marLeft w:val="0"/>
              <w:marRight w:val="0"/>
              <w:marTop w:val="0"/>
              <w:marBottom w:val="0"/>
              <w:divBdr>
                <w:top w:val="none" w:sz="0" w:space="0" w:color="auto"/>
                <w:left w:val="none" w:sz="0" w:space="0" w:color="auto"/>
                <w:bottom w:val="none" w:sz="0" w:space="0" w:color="auto"/>
                <w:right w:val="none" w:sz="0" w:space="0" w:color="auto"/>
              </w:divBdr>
            </w:div>
          </w:divsChild>
        </w:div>
        <w:div w:id="127599608">
          <w:marLeft w:val="0"/>
          <w:marRight w:val="0"/>
          <w:marTop w:val="0"/>
          <w:marBottom w:val="0"/>
          <w:divBdr>
            <w:top w:val="none" w:sz="0" w:space="0" w:color="auto"/>
            <w:left w:val="none" w:sz="0" w:space="0" w:color="auto"/>
            <w:bottom w:val="none" w:sz="0" w:space="0" w:color="auto"/>
            <w:right w:val="none" w:sz="0" w:space="0" w:color="auto"/>
          </w:divBdr>
          <w:divsChild>
            <w:div w:id="699673580">
              <w:marLeft w:val="0"/>
              <w:marRight w:val="0"/>
              <w:marTop w:val="0"/>
              <w:marBottom w:val="0"/>
              <w:divBdr>
                <w:top w:val="none" w:sz="0" w:space="0" w:color="auto"/>
                <w:left w:val="none" w:sz="0" w:space="0" w:color="auto"/>
                <w:bottom w:val="none" w:sz="0" w:space="0" w:color="auto"/>
                <w:right w:val="none" w:sz="0" w:space="0" w:color="auto"/>
              </w:divBdr>
            </w:div>
          </w:divsChild>
        </w:div>
        <w:div w:id="242884380">
          <w:marLeft w:val="0"/>
          <w:marRight w:val="0"/>
          <w:marTop w:val="0"/>
          <w:marBottom w:val="0"/>
          <w:divBdr>
            <w:top w:val="none" w:sz="0" w:space="0" w:color="auto"/>
            <w:left w:val="none" w:sz="0" w:space="0" w:color="auto"/>
            <w:bottom w:val="none" w:sz="0" w:space="0" w:color="auto"/>
            <w:right w:val="none" w:sz="0" w:space="0" w:color="auto"/>
          </w:divBdr>
          <w:divsChild>
            <w:div w:id="547104437">
              <w:marLeft w:val="0"/>
              <w:marRight w:val="0"/>
              <w:marTop w:val="0"/>
              <w:marBottom w:val="0"/>
              <w:divBdr>
                <w:top w:val="none" w:sz="0" w:space="0" w:color="auto"/>
                <w:left w:val="none" w:sz="0" w:space="0" w:color="auto"/>
                <w:bottom w:val="none" w:sz="0" w:space="0" w:color="auto"/>
                <w:right w:val="none" w:sz="0" w:space="0" w:color="auto"/>
              </w:divBdr>
            </w:div>
          </w:divsChild>
        </w:div>
        <w:div w:id="295648489">
          <w:marLeft w:val="0"/>
          <w:marRight w:val="0"/>
          <w:marTop w:val="0"/>
          <w:marBottom w:val="0"/>
          <w:divBdr>
            <w:top w:val="none" w:sz="0" w:space="0" w:color="auto"/>
            <w:left w:val="none" w:sz="0" w:space="0" w:color="auto"/>
            <w:bottom w:val="none" w:sz="0" w:space="0" w:color="auto"/>
            <w:right w:val="none" w:sz="0" w:space="0" w:color="auto"/>
          </w:divBdr>
          <w:divsChild>
            <w:div w:id="1835757413">
              <w:marLeft w:val="0"/>
              <w:marRight w:val="0"/>
              <w:marTop w:val="0"/>
              <w:marBottom w:val="0"/>
              <w:divBdr>
                <w:top w:val="none" w:sz="0" w:space="0" w:color="auto"/>
                <w:left w:val="none" w:sz="0" w:space="0" w:color="auto"/>
                <w:bottom w:val="none" w:sz="0" w:space="0" w:color="auto"/>
                <w:right w:val="none" w:sz="0" w:space="0" w:color="auto"/>
              </w:divBdr>
            </w:div>
          </w:divsChild>
        </w:div>
        <w:div w:id="308748411">
          <w:marLeft w:val="0"/>
          <w:marRight w:val="0"/>
          <w:marTop w:val="0"/>
          <w:marBottom w:val="0"/>
          <w:divBdr>
            <w:top w:val="none" w:sz="0" w:space="0" w:color="auto"/>
            <w:left w:val="none" w:sz="0" w:space="0" w:color="auto"/>
            <w:bottom w:val="none" w:sz="0" w:space="0" w:color="auto"/>
            <w:right w:val="none" w:sz="0" w:space="0" w:color="auto"/>
          </w:divBdr>
          <w:divsChild>
            <w:div w:id="1277374164">
              <w:marLeft w:val="0"/>
              <w:marRight w:val="0"/>
              <w:marTop w:val="0"/>
              <w:marBottom w:val="0"/>
              <w:divBdr>
                <w:top w:val="none" w:sz="0" w:space="0" w:color="auto"/>
                <w:left w:val="none" w:sz="0" w:space="0" w:color="auto"/>
                <w:bottom w:val="none" w:sz="0" w:space="0" w:color="auto"/>
                <w:right w:val="none" w:sz="0" w:space="0" w:color="auto"/>
              </w:divBdr>
            </w:div>
          </w:divsChild>
        </w:div>
        <w:div w:id="309292527">
          <w:marLeft w:val="0"/>
          <w:marRight w:val="0"/>
          <w:marTop w:val="0"/>
          <w:marBottom w:val="0"/>
          <w:divBdr>
            <w:top w:val="none" w:sz="0" w:space="0" w:color="auto"/>
            <w:left w:val="none" w:sz="0" w:space="0" w:color="auto"/>
            <w:bottom w:val="none" w:sz="0" w:space="0" w:color="auto"/>
            <w:right w:val="none" w:sz="0" w:space="0" w:color="auto"/>
          </w:divBdr>
          <w:divsChild>
            <w:div w:id="1260748569">
              <w:marLeft w:val="0"/>
              <w:marRight w:val="0"/>
              <w:marTop w:val="0"/>
              <w:marBottom w:val="0"/>
              <w:divBdr>
                <w:top w:val="none" w:sz="0" w:space="0" w:color="auto"/>
                <w:left w:val="none" w:sz="0" w:space="0" w:color="auto"/>
                <w:bottom w:val="none" w:sz="0" w:space="0" w:color="auto"/>
                <w:right w:val="none" w:sz="0" w:space="0" w:color="auto"/>
              </w:divBdr>
            </w:div>
          </w:divsChild>
        </w:div>
        <w:div w:id="338896626">
          <w:marLeft w:val="0"/>
          <w:marRight w:val="0"/>
          <w:marTop w:val="0"/>
          <w:marBottom w:val="0"/>
          <w:divBdr>
            <w:top w:val="none" w:sz="0" w:space="0" w:color="auto"/>
            <w:left w:val="none" w:sz="0" w:space="0" w:color="auto"/>
            <w:bottom w:val="none" w:sz="0" w:space="0" w:color="auto"/>
            <w:right w:val="none" w:sz="0" w:space="0" w:color="auto"/>
          </w:divBdr>
          <w:divsChild>
            <w:div w:id="983434164">
              <w:marLeft w:val="0"/>
              <w:marRight w:val="0"/>
              <w:marTop w:val="0"/>
              <w:marBottom w:val="0"/>
              <w:divBdr>
                <w:top w:val="none" w:sz="0" w:space="0" w:color="auto"/>
                <w:left w:val="none" w:sz="0" w:space="0" w:color="auto"/>
                <w:bottom w:val="none" w:sz="0" w:space="0" w:color="auto"/>
                <w:right w:val="none" w:sz="0" w:space="0" w:color="auto"/>
              </w:divBdr>
            </w:div>
          </w:divsChild>
        </w:div>
        <w:div w:id="341974035">
          <w:marLeft w:val="0"/>
          <w:marRight w:val="0"/>
          <w:marTop w:val="0"/>
          <w:marBottom w:val="0"/>
          <w:divBdr>
            <w:top w:val="none" w:sz="0" w:space="0" w:color="auto"/>
            <w:left w:val="none" w:sz="0" w:space="0" w:color="auto"/>
            <w:bottom w:val="none" w:sz="0" w:space="0" w:color="auto"/>
            <w:right w:val="none" w:sz="0" w:space="0" w:color="auto"/>
          </w:divBdr>
          <w:divsChild>
            <w:div w:id="159783505">
              <w:marLeft w:val="0"/>
              <w:marRight w:val="0"/>
              <w:marTop w:val="0"/>
              <w:marBottom w:val="0"/>
              <w:divBdr>
                <w:top w:val="none" w:sz="0" w:space="0" w:color="auto"/>
                <w:left w:val="none" w:sz="0" w:space="0" w:color="auto"/>
                <w:bottom w:val="none" w:sz="0" w:space="0" w:color="auto"/>
                <w:right w:val="none" w:sz="0" w:space="0" w:color="auto"/>
              </w:divBdr>
            </w:div>
          </w:divsChild>
        </w:div>
        <w:div w:id="395781633">
          <w:marLeft w:val="0"/>
          <w:marRight w:val="0"/>
          <w:marTop w:val="0"/>
          <w:marBottom w:val="0"/>
          <w:divBdr>
            <w:top w:val="none" w:sz="0" w:space="0" w:color="auto"/>
            <w:left w:val="none" w:sz="0" w:space="0" w:color="auto"/>
            <w:bottom w:val="none" w:sz="0" w:space="0" w:color="auto"/>
            <w:right w:val="none" w:sz="0" w:space="0" w:color="auto"/>
          </w:divBdr>
          <w:divsChild>
            <w:div w:id="1745028437">
              <w:marLeft w:val="0"/>
              <w:marRight w:val="0"/>
              <w:marTop w:val="0"/>
              <w:marBottom w:val="0"/>
              <w:divBdr>
                <w:top w:val="none" w:sz="0" w:space="0" w:color="auto"/>
                <w:left w:val="none" w:sz="0" w:space="0" w:color="auto"/>
                <w:bottom w:val="none" w:sz="0" w:space="0" w:color="auto"/>
                <w:right w:val="none" w:sz="0" w:space="0" w:color="auto"/>
              </w:divBdr>
            </w:div>
          </w:divsChild>
        </w:div>
        <w:div w:id="415202246">
          <w:marLeft w:val="0"/>
          <w:marRight w:val="0"/>
          <w:marTop w:val="0"/>
          <w:marBottom w:val="0"/>
          <w:divBdr>
            <w:top w:val="none" w:sz="0" w:space="0" w:color="auto"/>
            <w:left w:val="none" w:sz="0" w:space="0" w:color="auto"/>
            <w:bottom w:val="none" w:sz="0" w:space="0" w:color="auto"/>
            <w:right w:val="none" w:sz="0" w:space="0" w:color="auto"/>
          </w:divBdr>
          <w:divsChild>
            <w:div w:id="284893120">
              <w:marLeft w:val="0"/>
              <w:marRight w:val="0"/>
              <w:marTop w:val="0"/>
              <w:marBottom w:val="0"/>
              <w:divBdr>
                <w:top w:val="none" w:sz="0" w:space="0" w:color="auto"/>
                <w:left w:val="none" w:sz="0" w:space="0" w:color="auto"/>
                <w:bottom w:val="none" w:sz="0" w:space="0" w:color="auto"/>
                <w:right w:val="none" w:sz="0" w:space="0" w:color="auto"/>
              </w:divBdr>
            </w:div>
          </w:divsChild>
        </w:div>
        <w:div w:id="500585416">
          <w:marLeft w:val="0"/>
          <w:marRight w:val="0"/>
          <w:marTop w:val="0"/>
          <w:marBottom w:val="0"/>
          <w:divBdr>
            <w:top w:val="none" w:sz="0" w:space="0" w:color="auto"/>
            <w:left w:val="none" w:sz="0" w:space="0" w:color="auto"/>
            <w:bottom w:val="none" w:sz="0" w:space="0" w:color="auto"/>
            <w:right w:val="none" w:sz="0" w:space="0" w:color="auto"/>
          </w:divBdr>
          <w:divsChild>
            <w:div w:id="1864129026">
              <w:marLeft w:val="0"/>
              <w:marRight w:val="0"/>
              <w:marTop w:val="0"/>
              <w:marBottom w:val="0"/>
              <w:divBdr>
                <w:top w:val="none" w:sz="0" w:space="0" w:color="auto"/>
                <w:left w:val="none" w:sz="0" w:space="0" w:color="auto"/>
                <w:bottom w:val="none" w:sz="0" w:space="0" w:color="auto"/>
                <w:right w:val="none" w:sz="0" w:space="0" w:color="auto"/>
              </w:divBdr>
            </w:div>
          </w:divsChild>
        </w:div>
        <w:div w:id="505482274">
          <w:marLeft w:val="0"/>
          <w:marRight w:val="0"/>
          <w:marTop w:val="0"/>
          <w:marBottom w:val="0"/>
          <w:divBdr>
            <w:top w:val="none" w:sz="0" w:space="0" w:color="auto"/>
            <w:left w:val="none" w:sz="0" w:space="0" w:color="auto"/>
            <w:bottom w:val="none" w:sz="0" w:space="0" w:color="auto"/>
            <w:right w:val="none" w:sz="0" w:space="0" w:color="auto"/>
          </w:divBdr>
          <w:divsChild>
            <w:div w:id="1049064437">
              <w:marLeft w:val="0"/>
              <w:marRight w:val="0"/>
              <w:marTop w:val="0"/>
              <w:marBottom w:val="0"/>
              <w:divBdr>
                <w:top w:val="none" w:sz="0" w:space="0" w:color="auto"/>
                <w:left w:val="none" w:sz="0" w:space="0" w:color="auto"/>
                <w:bottom w:val="none" w:sz="0" w:space="0" w:color="auto"/>
                <w:right w:val="none" w:sz="0" w:space="0" w:color="auto"/>
              </w:divBdr>
            </w:div>
          </w:divsChild>
        </w:div>
        <w:div w:id="522982322">
          <w:marLeft w:val="0"/>
          <w:marRight w:val="0"/>
          <w:marTop w:val="0"/>
          <w:marBottom w:val="0"/>
          <w:divBdr>
            <w:top w:val="none" w:sz="0" w:space="0" w:color="auto"/>
            <w:left w:val="none" w:sz="0" w:space="0" w:color="auto"/>
            <w:bottom w:val="none" w:sz="0" w:space="0" w:color="auto"/>
            <w:right w:val="none" w:sz="0" w:space="0" w:color="auto"/>
          </w:divBdr>
          <w:divsChild>
            <w:div w:id="1360887411">
              <w:marLeft w:val="0"/>
              <w:marRight w:val="0"/>
              <w:marTop w:val="0"/>
              <w:marBottom w:val="0"/>
              <w:divBdr>
                <w:top w:val="none" w:sz="0" w:space="0" w:color="auto"/>
                <w:left w:val="none" w:sz="0" w:space="0" w:color="auto"/>
                <w:bottom w:val="none" w:sz="0" w:space="0" w:color="auto"/>
                <w:right w:val="none" w:sz="0" w:space="0" w:color="auto"/>
              </w:divBdr>
            </w:div>
          </w:divsChild>
        </w:div>
        <w:div w:id="599141487">
          <w:marLeft w:val="0"/>
          <w:marRight w:val="0"/>
          <w:marTop w:val="0"/>
          <w:marBottom w:val="0"/>
          <w:divBdr>
            <w:top w:val="none" w:sz="0" w:space="0" w:color="auto"/>
            <w:left w:val="none" w:sz="0" w:space="0" w:color="auto"/>
            <w:bottom w:val="none" w:sz="0" w:space="0" w:color="auto"/>
            <w:right w:val="none" w:sz="0" w:space="0" w:color="auto"/>
          </w:divBdr>
          <w:divsChild>
            <w:div w:id="717052772">
              <w:marLeft w:val="0"/>
              <w:marRight w:val="0"/>
              <w:marTop w:val="0"/>
              <w:marBottom w:val="0"/>
              <w:divBdr>
                <w:top w:val="none" w:sz="0" w:space="0" w:color="auto"/>
                <w:left w:val="none" w:sz="0" w:space="0" w:color="auto"/>
                <w:bottom w:val="none" w:sz="0" w:space="0" w:color="auto"/>
                <w:right w:val="none" w:sz="0" w:space="0" w:color="auto"/>
              </w:divBdr>
            </w:div>
          </w:divsChild>
        </w:div>
        <w:div w:id="618949685">
          <w:marLeft w:val="0"/>
          <w:marRight w:val="0"/>
          <w:marTop w:val="0"/>
          <w:marBottom w:val="0"/>
          <w:divBdr>
            <w:top w:val="none" w:sz="0" w:space="0" w:color="auto"/>
            <w:left w:val="none" w:sz="0" w:space="0" w:color="auto"/>
            <w:bottom w:val="none" w:sz="0" w:space="0" w:color="auto"/>
            <w:right w:val="none" w:sz="0" w:space="0" w:color="auto"/>
          </w:divBdr>
          <w:divsChild>
            <w:div w:id="114913282">
              <w:marLeft w:val="0"/>
              <w:marRight w:val="0"/>
              <w:marTop w:val="0"/>
              <w:marBottom w:val="0"/>
              <w:divBdr>
                <w:top w:val="none" w:sz="0" w:space="0" w:color="auto"/>
                <w:left w:val="none" w:sz="0" w:space="0" w:color="auto"/>
                <w:bottom w:val="none" w:sz="0" w:space="0" w:color="auto"/>
                <w:right w:val="none" w:sz="0" w:space="0" w:color="auto"/>
              </w:divBdr>
            </w:div>
          </w:divsChild>
        </w:div>
        <w:div w:id="627390981">
          <w:marLeft w:val="0"/>
          <w:marRight w:val="0"/>
          <w:marTop w:val="0"/>
          <w:marBottom w:val="0"/>
          <w:divBdr>
            <w:top w:val="none" w:sz="0" w:space="0" w:color="auto"/>
            <w:left w:val="none" w:sz="0" w:space="0" w:color="auto"/>
            <w:bottom w:val="none" w:sz="0" w:space="0" w:color="auto"/>
            <w:right w:val="none" w:sz="0" w:space="0" w:color="auto"/>
          </w:divBdr>
          <w:divsChild>
            <w:div w:id="836770976">
              <w:marLeft w:val="0"/>
              <w:marRight w:val="0"/>
              <w:marTop w:val="0"/>
              <w:marBottom w:val="0"/>
              <w:divBdr>
                <w:top w:val="none" w:sz="0" w:space="0" w:color="auto"/>
                <w:left w:val="none" w:sz="0" w:space="0" w:color="auto"/>
                <w:bottom w:val="none" w:sz="0" w:space="0" w:color="auto"/>
                <w:right w:val="none" w:sz="0" w:space="0" w:color="auto"/>
              </w:divBdr>
            </w:div>
          </w:divsChild>
        </w:div>
        <w:div w:id="634336106">
          <w:marLeft w:val="0"/>
          <w:marRight w:val="0"/>
          <w:marTop w:val="0"/>
          <w:marBottom w:val="0"/>
          <w:divBdr>
            <w:top w:val="none" w:sz="0" w:space="0" w:color="auto"/>
            <w:left w:val="none" w:sz="0" w:space="0" w:color="auto"/>
            <w:bottom w:val="none" w:sz="0" w:space="0" w:color="auto"/>
            <w:right w:val="none" w:sz="0" w:space="0" w:color="auto"/>
          </w:divBdr>
          <w:divsChild>
            <w:div w:id="606742625">
              <w:marLeft w:val="0"/>
              <w:marRight w:val="0"/>
              <w:marTop w:val="0"/>
              <w:marBottom w:val="0"/>
              <w:divBdr>
                <w:top w:val="none" w:sz="0" w:space="0" w:color="auto"/>
                <w:left w:val="none" w:sz="0" w:space="0" w:color="auto"/>
                <w:bottom w:val="none" w:sz="0" w:space="0" w:color="auto"/>
                <w:right w:val="none" w:sz="0" w:space="0" w:color="auto"/>
              </w:divBdr>
            </w:div>
          </w:divsChild>
        </w:div>
        <w:div w:id="679545614">
          <w:marLeft w:val="0"/>
          <w:marRight w:val="0"/>
          <w:marTop w:val="0"/>
          <w:marBottom w:val="0"/>
          <w:divBdr>
            <w:top w:val="none" w:sz="0" w:space="0" w:color="auto"/>
            <w:left w:val="none" w:sz="0" w:space="0" w:color="auto"/>
            <w:bottom w:val="none" w:sz="0" w:space="0" w:color="auto"/>
            <w:right w:val="none" w:sz="0" w:space="0" w:color="auto"/>
          </w:divBdr>
          <w:divsChild>
            <w:div w:id="2100514479">
              <w:marLeft w:val="0"/>
              <w:marRight w:val="0"/>
              <w:marTop w:val="0"/>
              <w:marBottom w:val="0"/>
              <w:divBdr>
                <w:top w:val="none" w:sz="0" w:space="0" w:color="auto"/>
                <w:left w:val="none" w:sz="0" w:space="0" w:color="auto"/>
                <w:bottom w:val="none" w:sz="0" w:space="0" w:color="auto"/>
                <w:right w:val="none" w:sz="0" w:space="0" w:color="auto"/>
              </w:divBdr>
            </w:div>
          </w:divsChild>
        </w:div>
        <w:div w:id="702442898">
          <w:marLeft w:val="0"/>
          <w:marRight w:val="0"/>
          <w:marTop w:val="0"/>
          <w:marBottom w:val="0"/>
          <w:divBdr>
            <w:top w:val="none" w:sz="0" w:space="0" w:color="auto"/>
            <w:left w:val="none" w:sz="0" w:space="0" w:color="auto"/>
            <w:bottom w:val="none" w:sz="0" w:space="0" w:color="auto"/>
            <w:right w:val="none" w:sz="0" w:space="0" w:color="auto"/>
          </w:divBdr>
          <w:divsChild>
            <w:div w:id="1894464370">
              <w:marLeft w:val="0"/>
              <w:marRight w:val="0"/>
              <w:marTop w:val="0"/>
              <w:marBottom w:val="0"/>
              <w:divBdr>
                <w:top w:val="none" w:sz="0" w:space="0" w:color="auto"/>
                <w:left w:val="none" w:sz="0" w:space="0" w:color="auto"/>
                <w:bottom w:val="none" w:sz="0" w:space="0" w:color="auto"/>
                <w:right w:val="none" w:sz="0" w:space="0" w:color="auto"/>
              </w:divBdr>
            </w:div>
          </w:divsChild>
        </w:div>
        <w:div w:id="741104392">
          <w:marLeft w:val="0"/>
          <w:marRight w:val="0"/>
          <w:marTop w:val="0"/>
          <w:marBottom w:val="0"/>
          <w:divBdr>
            <w:top w:val="none" w:sz="0" w:space="0" w:color="auto"/>
            <w:left w:val="none" w:sz="0" w:space="0" w:color="auto"/>
            <w:bottom w:val="none" w:sz="0" w:space="0" w:color="auto"/>
            <w:right w:val="none" w:sz="0" w:space="0" w:color="auto"/>
          </w:divBdr>
          <w:divsChild>
            <w:div w:id="17854580">
              <w:marLeft w:val="0"/>
              <w:marRight w:val="0"/>
              <w:marTop w:val="0"/>
              <w:marBottom w:val="0"/>
              <w:divBdr>
                <w:top w:val="none" w:sz="0" w:space="0" w:color="auto"/>
                <w:left w:val="none" w:sz="0" w:space="0" w:color="auto"/>
                <w:bottom w:val="none" w:sz="0" w:space="0" w:color="auto"/>
                <w:right w:val="none" w:sz="0" w:space="0" w:color="auto"/>
              </w:divBdr>
            </w:div>
          </w:divsChild>
        </w:div>
        <w:div w:id="741832980">
          <w:marLeft w:val="0"/>
          <w:marRight w:val="0"/>
          <w:marTop w:val="0"/>
          <w:marBottom w:val="0"/>
          <w:divBdr>
            <w:top w:val="none" w:sz="0" w:space="0" w:color="auto"/>
            <w:left w:val="none" w:sz="0" w:space="0" w:color="auto"/>
            <w:bottom w:val="none" w:sz="0" w:space="0" w:color="auto"/>
            <w:right w:val="none" w:sz="0" w:space="0" w:color="auto"/>
          </w:divBdr>
          <w:divsChild>
            <w:div w:id="1266039610">
              <w:marLeft w:val="0"/>
              <w:marRight w:val="0"/>
              <w:marTop w:val="0"/>
              <w:marBottom w:val="0"/>
              <w:divBdr>
                <w:top w:val="none" w:sz="0" w:space="0" w:color="auto"/>
                <w:left w:val="none" w:sz="0" w:space="0" w:color="auto"/>
                <w:bottom w:val="none" w:sz="0" w:space="0" w:color="auto"/>
                <w:right w:val="none" w:sz="0" w:space="0" w:color="auto"/>
              </w:divBdr>
            </w:div>
          </w:divsChild>
        </w:div>
        <w:div w:id="749273944">
          <w:marLeft w:val="0"/>
          <w:marRight w:val="0"/>
          <w:marTop w:val="0"/>
          <w:marBottom w:val="0"/>
          <w:divBdr>
            <w:top w:val="none" w:sz="0" w:space="0" w:color="auto"/>
            <w:left w:val="none" w:sz="0" w:space="0" w:color="auto"/>
            <w:bottom w:val="none" w:sz="0" w:space="0" w:color="auto"/>
            <w:right w:val="none" w:sz="0" w:space="0" w:color="auto"/>
          </w:divBdr>
          <w:divsChild>
            <w:div w:id="1766919293">
              <w:marLeft w:val="0"/>
              <w:marRight w:val="0"/>
              <w:marTop w:val="0"/>
              <w:marBottom w:val="0"/>
              <w:divBdr>
                <w:top w:val="none" w:sz="0" w:space="0" w:color="auto"/>
                <w:left w:val="none" w:sz="0" w:space="0" w:color="auto"/>
                <w:bottom w:val="none" w:sz="0" w:space="0" w:color="auto"/>
                <w:right w:val="none" w:sz="0" w:space="0" w:color="auto"/>
              </w:divBdr>
            </w:div>
          </w:divsChild>
        </w:div>
        <w:div w:id="751585605">
          <w:marLeft w:val="0"/>
          <w:marRight w:val="0"/>
          <w:marTop w:val="0"/>
          <w:marBottom w:val="0"/>
          <w:divBdr>
            <w:top w:val="none" w:sz="0" w:space="0" w:color="auto"/>
            <w:left w:val="none" w:sz="0" w:space="0" w:color="auto"/>
            <w:bottom w:val="none" w:sz="0" w:space="0" w:color="auto"/>
            <w:right w:val="none" w:sz="0" w:space="0" w:color="auto"/>
          </w:divBdr>
          <w:divsChild>
            <w:div w:id="1928535550">
              <w:marLeft w:val="0"/>
              <w:marRight w:val="0"/>
              <w:marTop w:val="0"/>
              <w:marBottom w:val="0"/>
              <w:divBdr>
                <w:top w:val="none" w:sz="0" w:space="0" w:color="auto"/>
                <w:left w:val="none" w:sz="0" w:space="0" w:color="auto"/>
                <w:bottom w:val="none" w:sz="0" w:space="0" w:color="auto"/>
                <w:right w:val="none" w:sz="0" w:space="0" w:color="auto"/>
              </w:divBdr>
            </w:div>
          </w:divsChild>
        </w:div>
        <w:div w:id="756749632">
          <w:marLeft w:val="0"/>
          <w:marRight w:val="0"/>
          <w:marTop w:val="0"/>
          <w:marBottom w:val="0"/>
          <w:divBdr>
            <w:top w:val="none" w:sz="0" w:space="0" w:color="auto"/>
            <w:left w:val="none" w:sz="0" w:space="0" w:color="auto"/>
            <w:bottom w:val="none" w:sz="0" w:space="0" w:color="auto"/>
            <w:right w:val="none" w:sz="0" w:space="0" w:color="auto"/>
          </w:divBdr>
          <w:divsChild>
            <w:div w:id="1842817962">
              <w:marLeft w:val="0"/>
              <w:marRight w:val="0"/>
              <w:marTop w:val="0"/>
              <w:marBottom w:val="0"/>
              <w:divBdr>
                <w:top w:val="none" w:sz="0" w:space="0" w:color="auto"/>
                <w:left w:val="none" w:sz="0" w:space="0" w:color="auto"/>
                <w:bottom w:val="none" w:sz="0" w:space="0" w:color="auto"/>
                <w:right w:val="none" w:sz="0" w:space="0" w:color="auto"/>
              </w:divBdr>
            </w:div>
          </w:divsChild>
        </w:div>
        <w:div w:id="830800983">
          <w:marLeft w:val="0"/>
          <w:marRight w:val="0"/>
          <w:marTop w:val="0"/>
          <w:marBottom w:val="0"/>
          <w:divBdr>
            <w:top w:val="none" w:sz="0" w:space="0" w:color="auto"/>
            <w:left w:val="none" w:sz="0" w:space="0" w:color="auto"/>
            <w:bottom w:val="none" w:sz="0" w:space="0" w:color="auto"/>
            <w:right w:val="none" w:sz="0" w:space="0" w:color="auto"/>
          </w:divBdr>
          <w:divsChild>
            <w:div w:id="433942881">
              <w:marLeft w:val="0"/>
              <w:marRight w:val="0"/>
              <w:marTop w:val="0"/>
              <w:marBottom w:val="0"/>
              <w:divBdr>
                <w:top w:val="none" w:sz="0" w:space="0" w:color="auto"/>
                <w:left w:val="none" w:sz="0" w:space="0" w:color="auto"/>
                <w:bottom w:val="none" w:sz="0" w:space="0" w:color="auto"/>
                <w:right w:val="none" w:sz="0" w:space="0" w:color="auto"/>
              </w:divBdr>
            </w:div>
          </w:divsChild>
        </w:div>
        <w:div w:id="839587481">
          <w:marLeft w:val="0"/>
          <w:marRight w:val="0"/>
          <w:marTop w:val="0"/>
          <w:marBottom w:val="0"/>
          <w:divBdr>
            <w:top w:val="none" w:sz="0" w:space="0" w:color="auto"/>
            <w:left w:val="none" w:sz="0" w:space="0" w:color="auto"/>
            <w:bottom w:val="none" w:sz="0" w:space="0" w:color="auto"/>
            <w:right w:val="none" w:sz="0" w:space="0" w:color="auto"/>
          </w:divBdr>
          <w:divsChild>
            <w:div w:id="637731594">
              <w:marLeft w:val="0"/>
              <w:marRight w:val="0"/>
              <w:marTop w:val="0"/>
              <w:marBottom w:val="0"/>
              <w:divBdr>
                <w:top w:val="none" w:sz="0" w:space="0" w:color="auto"/>
                <w:left w:val="none" w:sz="0" w:space="0" w:color="auto"/>
                <w:bottom w:val="none" w:sz="0" w:space="0" w:color="auto"/>
                <w:right w:val="none" w:sz="0" w:space="0" w:color="auto"/>
              </w:divBdr>
            </w:div>
          </w:divsChild>
        </w:div>
        <w:div w:id="922447899">
          <w:marLeft w:val="0"/>
          <w:marRight w:val="0"/>
          <w:marTop w:val="0"/>
          <w:marBottom w:val="0"/>
          <w:divBdr>
            <w:top w:val="none" w:sz="0" w:space="0" w:color="auto"/>
            <w:left w:val="none" w:sz="0" w:space="0" w:color="auto"/>
            <w:bottom w:val="none" w:sz="0" w:space="0" w:color="auto"/>
            <w:right w:val="none" w:sz="0" w:space="0" w:color="auto"/>
          </w:divBdr>
          <w:divsChild>
            <w:div w:id="1614097899">
              <w:marLeft w:val="0"/>
              <w:marRight w:val="0"/>
              <w:marTop w:val="0"/>
              <w:marBottom w:val="0"/>
              <w:divBdr>
                <w:top w:val="none" w:sz="0" w:space="0" w:color="auto"/>
                <w:left w:val="none" w:sz="0" w:space="0" w:color="auto"/>
                <w:bottom w:val="none" w:sz="0" w:space="0" w:color="auto"/>
                <w:right w:val="none" w:sz="0" w:space="0" w:color="auto"/>
              </w:divBdr>
            </w:div>
          </w:divsChild>
        </w:div>
        <w:div w:id="978536780">
          <w:marLeft w:val="0"/>
          <w:marRight w:val="0"/>
          <w:marTop w:val="0"/>
          <w:marBottom w:val="0"/>
          <w:divBdr>
            <w:top w:val="none" w:sz="0" w:space="0" w:color="auto"/>
            <w:left w:val="none" w:sz="0" w:space="0" w:color="auto"/>
            <w:bottom w:val="none" w:sz="0" w:space="0" w:color="auto"/>
            <w:right w:val="none" w:sz="0" w:space="0" w:color="auto"/>
          </w:divBdr>
          <w:divsChild>
            <w:div w:id="2005206321">
              <w:marLeft w:val="0"/>
              <w:marRight w:val="0"/>
              <w:marTop w:val="0"/>
              <w:marBottom w:val="0"/>
              <w:divBdr>
                <w:top w:val="none" w:sz="0" w:space="0" w:color="auto"/>
                <w:left w:val="none" w:sz="0" w:space="0" w:color="auto"/>
                <w:bottom w:val="none" w:sz="0" w:space="0" w:color="auto"/>
                <w:right w:val="none" w:sz="0" w:space="0" w:color="auto"/>
              </w:divBdr>
            </w:div>
          </w:divsChild>
        </w:div>
        <w:div w:id="1053192579">
          <w:marLeft w:val="0"/>
          <w:marRight w:val="0"/>
          <w:marTop w:val="0"/>
          <w:marBottom w:val="0"/>
          <w:divBdr>
            <w:top w:val="none" w:sz="0" w:space="0" w:color="auto"/>
            <w:left w:val="none" w:sz="0" w:space="0" w:color="auto"/>
            <w:bottom w:val="none" w:sz="0" w:space="0" w:color="auto"/>
            <w:right w:val="none" w:sz="0" w:space="0" w:color="auto"/>
          </w:divBdr>
          <w:divsChild>
            <w:div w:id="77792038">
              <w:marLeft w:val="0"/>
              <w:marRight w:val="0"/>
              <w:marTop w:val="0"/>
              <w:marBottom w:val="0"/>
              <w:divBdr>
                <w:top w:val="none" w:sz="0" w:space="0" w:color="auto"/>
                <w:left w:val="none" w:sz="0" w:space="0" w:color="auto"/>
                <w:bottom w:val="none" w:sz="0" w:space="0" w:color="auto"/>
                <w:right w:val="none" w:sz="0" w:space="0" w:color="auto"/>
              </w:divBdr>
            </w:div>
          </w:divsChild>
        </w:div>
        <w:div w:id="1097091478">
          <w:marLeft w:val="0"/>
          <w:marRight w:val="0"/>
          <w:marTop w:val="0"/>
          <w:marBottom w:val="0"/>
          <w:divBdr>
            <w:top w:val="none" w:sz="0" w:space="0" w:color="auto"/>
            <w:left w:val="none" w:sz="0" w:space="0" w:color="auto"/>
            <w:bottom w:val="none" w:sz="0" w:space="0" w:color="auto"/>
            <w:right w:val="none" w:sz="0" w:space="0" w:color="auto"/>
          </w:divBdr>
          <w:divsChild>
            <w:div w:id="1800950745">
              <w:marLeft w:val="0"/>
              <w:marRight w:val="0"/>
              <w:marTop w:val="0"/>
              <w:marBottom w:val="0"/>
              <w:divBdr>
                <w:top w:val="none" w:sz="0" w:space="0" w:color="auto"/>
                <w:left w:val="none" w:sz="0" w:space="0" w:color="auto"/>
                <w:bottom w:val="none" w:sz="0" w:space="0" w:color="auto"/>
                <w:right w:val="none" w:sz="0" w:space="0" w:color="auto"/>
              </w:divBdr>
            </w:div>
          </w:divsChild>
        </w:div>
        <w:div w:id="1197625624">
          <w:marLeft w:val="0"/>
          <w:marRight w:val="0"/>
          <w:marTop w:val="0"/>
          <w:marBottom w:val="0"/>
          <w:divBdr>
            <w:top w:val="none" w:sz="0" w:space="0" w:color="auto"/>
            <w:left w:val="none" w:sz="0" w:space="0" w:color="auto"/>
            <w:bottom w:val="none" w:sz="0" w:space="0" w:color="auto"/>
            <w:right w:val="none" w:sz="0" w:space="0" w:color="auto"/>
          </w:divBdr>
          <w:divsChild>
            <w:div w:id="676807012">
              <w:marLeft w:val="0"/>
              <w:marRight w:val="0"/>
              <w:marTop w:val="0"/>
              <w:marBottom w:val="0"/>
              <w:divBdr>
                <w:top w:val="none" w:sz="0" w:space="0" w:color="auto"/>
                <w:left w:val="none" w:sz="0" w:space="0" w:color="auto"/>
                <w:bottom w:val="none" w:sz="0" w:space="0" w:color="auto"/>
                <w:right w:val="none" w:sz="0" w:space="0" w:color="auto"/>
              </w:divBdr>
            </w:div>
          </w:divsChild>
        </w:div>
        <w:div w:id="1200973422">
          <w:marLeft w:val="0"/>
          <w:marRight w:val="0"/>
          <w:marTop w:val="0"/>
          <w:marBottom w:val="0"/>
          <w:divBdr>
            <w:top w:val="none" w:sz="0" w:space="0" w:color="auto"/>
            <w:left w:val="none" w:sz="0" w:space="0" w:color="auto"/>
            <w:bottom w:val="none" w:sz="0" w:space="0" w:color="auto"/>
            <w:right w:val="none" w:sz="0" w:space="0" w:color="auto"/>
          </w:divBdr>
          <w:divsChild>
            <w:div w:id="853105482">
              <w:marLeft w:val="0"/>
              <w:marRight w:val="0"/>
              <w:marTop w:val="0"/>
              <w:marBottom w:val="0"/>
              <w:divBdr>
                <w:top w:val="none" w:sz="0" w:space="0" w:color="auto"/>
                <w:left w:val="none" w:sz="0" w:space="0" w:color="auto"/>
                <w:bottom w:val="none" w:sz="0" w:space="0" w:color="auto"/>
                <w:right w:val="none" w:sz="0" w:space="0" w:color="auto"/>
              </w:divBdr>
            </w:div>
          </w:divsChild>
        </w:div>
        <w:div w:id="1228884983">
          <w:marLeft w:val="0"/>
          <w:marRight w:val="0"/>
          <w:marTop w:val="0"/>
          <w:marBottom w:val="0"/>
          <w:divBdr>
            <w:top w:val="none" w:sz="0" w:space="0" w:color="auto"/>
            <w:left w:val="none" w:sz="0" w:space="0" w:color="auto"/>
            <w:bottom w:val="none" w:sz="0" w:space="0" w:color="auto"/>
            <w:right w:val="none" w:sz="0" w:space="0" w:color="auto"/>
          </w:divBdr>
          <w:divsChild>
            <w:div w:id="787548633">
              <w:marLeft w:val="0"/>
              <w:marRight w:val="0"/>
              <w:marTop w:val="0"/>
              <w:marBottom w:val="0"/>
              <w:divBdr>
                <w:top w:val="none" w:sz="0" w:space="0" w:color="auto"/>
                <w:left w:val="none" w:sz="0" w:space="0" w:color="auto"/>
                <w:bottom w:val="none" w:sz="0" w:space="0" w:color="auto"/>
                <w:right w:val="none" w:sz="0" w:space="0" w:color="auto"/>
              </w:divBdr>
            </w:div>
          </w:divsChild>
        </w:div>
        <w:div w:id="1241603985">
          <w:marLeft w:val="0"/>
          <w:marRight w:val="0"/>
          <w:marTop w:val="0"/>
          <w:marBottom w:val="0"/>
          <w:divBdr>
            <w:top w:val="none" w:sz="0" w:space="0" w:color="auto"/>
            <w:left w:val="none" w:sz="0" w:space="0" w:color="auto"/>
            <w:bottom w:val="none" w:sz="0" w:space="0" w:color="auto"/>
            <w:right w:val="none" w:sz="0" w:space="0" w:color="auto"/>
          </w:divBdr>
          <w:divsChild>
            <w:div w:id="1323704144">
              <w:marLeft w:val="0"/>
              <w:marRight w:val="0"/>
              <w:marTop w:val="0"/>
              <w:marBottom w:val="0"/>
              <w:divBdr>
                <w:top w:val="none" w:sz="0" w:space="0" w:color="auto"/>
                <w:left w:val="none" w:sz="0" w:space="0" w:color="auto"/>
                <w:bottom w:val="none" w:sz="0" w:space="0" w:color="auto"/>
                <w:right w:val="none" w:sz="0" w:space="0" w:color="auto"/>
              </w:divBdr>
            </w:div>
          </w:divsChild>
        </w:div>
        <w:div w:id="1261452397">
          <w:marLeft w:val="0"/>
          <w:marRight w:val="0"/>
          <w:marTop w:val="0"/>
          <w:marBottom w:val="0"/>
          <w:divBdr>
            <w:top w:val="none" w:sz="0" w:space="0" w:color="auto"/>
            <w:left w:val="none" w:sz="0" w:space="0" w:color="auto"/>
            <w:bottom w:val="none" w:sz="0" w:space="0" w:color="auto"/>
            <w:right w:val="none" w:sz="0" w:space="0" w:color="auto"/>
          </w:divBdr>
          <w:divsChild>
            <w:div w:id="2014214258">
              <w:marLeft w:val="0"/>
              <w:marRight w:val="0"/>
              <w:marTop w:val="0"/>
              <w:marBottom w:val="0"/>
              <w:divBdr>
                <w:top w:val="none" w:sz="0" w:space="0" w:color="auto"/>
                <w:left w:val="none" w:sz="0" w:space="0" w:color="auto"/>
                <w:bottom w:val="none" w:sz="0" w:space="0" w:color="auto"/>
                <w:right w:val="none" w:sz="0" w:space="0" w:color="auto"/>
              </w:divBdr>
            </w:div>
          </w:divsChild>
        </w:div>
        <w:div w:id="1328510820">
          <w:marLeft w:val="0"/>
          <w:marRight w:val="0"/>
          <w:marTop w:val="0"/>
          <w:marBottom w:val="0"/>
          <w:divBdr>
            <w:top w:val="none" w:sz="0" w:space="0" w:color="auto"/>
            <w:left w:val="none" w:sz="0" w:space="0" w:color="auto"/>
            <w:bottom w:val="none" w:sz="0" w:space="0" w:color="auto"/>
            <w:right w:val="none" w:sz="0" w:space="0" w:color="auto"/>
          </w:divBdr>
          <w:divsChild>
            <w:div w:id="1291283365">
              <w:marLeft w:val="0"/>
              <w:marRight w:val="0"/>
              <w:marTop w:val="0"/>
              <w:marBottom w:val="0"/>
              <w:divBdr>
                <w:top w:val="none" w:sz="0" w:space="0" w:color="auto"/>
                <w:left w:val="none" w:sz="0" w:space="0" w:color="auto"/>
                <w:bottom w:val="none" w:sz="0" w:space="0" w:color="auto"/>
                <w:right w:val="none" w:sz="0" w:space="0" w:color="auto"/>
              </w:divBdr>
            </w:div>
          </w:divsChild>
        </w:div>
        <w:div w:id="1383747321">
          <w:marLeft w:val="0"/>
          <w:marRight w:val="0"/>
          <w:marTop w:val="0"/>
          <w:marBottom w:val="0"/>
          <w:divBdr>
            <w:top w:val="none" w:sz="0" w:space="0" w:color="auto"/>
            <w:left w:val="none" w:sz="0" w:space="0" w:color="auto"/>
            <w:bottom w:val="none" w:sz="0" w:space="0" w:color="auto"/>
            <w:right w:val="none" w:sz="0" w:space="0" w:color="auto"/>
          </w:divBdr>
          <w:divsChild>
            <w:div w:id="204492147">
              <w:marLeft w:val="0"/>
              <w:marRight w:val="0"/>
              <w:marTop w:val="0"/>
              <w:marBottom w:val="0"/>
              <w:divBdr>
                <w:top w:val="none" w:sz="0" w:space="0" w:color="auto"/>
                <w:left w:val="none" w:sz="0" w:space="0" w:color="auto"/>
                <w:bottom w:val="none" w:sz="0" w:space="0" w:color="auto"/>
                <w:right w:val="none" w:sz="0" w:space="0" w:color="auto"/>
              </w:divBdr>
            </w:div>
          </w:divsChild>
        </w:div>
        <w:div w:id="1484001888">
          <w:marLeft w:val="0"/>
          <w:marRight w:val="0"/>
          <w:marTop w:val="0"/>
          <w:marBottom w:val="0"/>
          <w:divBdr>
            <w:top w:val="none" w:sz="0" w:space="0" w:color="auto"/>
            <w:left w:val="none" w:sz="0" w:space="0" w:color="auto"/>
            <w:bottom w:val="none" w:sz="0" w:space="0" w:color="auto"/>
            <w:right w:val="none" w:sz="0" w:space="0" w:color="auto"/>
          </w:divBdr>
          <w:divsChild>
            <w:div w:id="531114990">
              <w:marLeft w:val="0"/>
              <w:marRight w:val="0"/>
              <w:marTop w:val="0"/>
              <w:marBottom w:val="0"/>
              <w:divBdr>
                <w:top w:val="none" w:sz="0" w:space="0" w:color="auto"/>
                <w:left w:val="none" w:sz="0" w:space="0" w:color="auto"/>
                <w:bottom w:val="none" w:sz="0" w:space="0" w:color="auto"/>
                <w:right w:val="none" w:sz="0" w:space="0" w:color="auto"/>
              </w:divBdr>
            </w:div>
          </w:divsChild>
        </w:div>
        <w:div w:id="1496260769">
          <w:marLeft w:val="0"/>
          <w:marRight w:val="0"/>
          <w:marTop w:val="0"/>
          <w:marBottom w:val="0"/>
          <w:divBdr>
            <w:top w:val="none" w:sz="0" w:space="0" w:color="auto"/>
            <w:left w:val="none" w:sz="0" w:space="0" w:color="auto"/>
            <w:bottom w:val="none" w:sz="0" w:space="0" w:color="auto"/>
            <w:right w:val="none" w:sz="0" w:space="0" w:color="auto"/>
          </w:divBdr>
          <w:divsChild>
            <w:div w:id="308365176">
              <w:marLeft w:val="0"/>
              <w:marRight w:val="0"/>
              <w:marTop w:val="0"/>
              <w:marBottom w:val="0"/>
              <w:divBdr>
                <w:top w:val="none" w:sz="0" w:space="0" w:color="auto"/>
                <w:left w:val="none" w:sz="0" w:space="0" w:color="auto"/>
                <w:bottom w:val="none" w:sz="0" w:space="0" w:color="auto"/>
                <w:right w:val="none" w:sz="0" w:space="0" w:color="auto"/>
              </w:divBdr>
            </w:div>
          </w:divsChild>
        </w:div>
        <w:div w:id="1515876943">
          <w:marLeft w:val="0"/>
          <w:marRight w:val="0"/>
          <w:marTop w:val="0"/>
          <w:marBottom w:val="0"/>
          <w:divBdr>
            <w:top w:val="none" w:sz="0" w:space="0" w:color="auto"/>
            <w:left w:val="none" w:sz="0" w:space="0" w:color="auto"/>
            <w:bottom w:val="none" w:sz="0" w:space="0" w:color="auto"/>
            <w:right w:val="none" w:sz="0" w:space="0" w:color="auto"/>
          </w:divBdr>
          <w:divsChild>
            <w:div w:id="659425326">
              <w:marLeft w:val="0"/>
              <w:marRight w:val="0"/>
              <w:marTop w:val="0"/>
              <w:marBottom w:val="0"/>
              <w:divBdr>
                <w:top w:val="none" w:sz="0" w:space="0" w:color="auto"/>
                <w:left w:val="none" w:sz="0" w:space="0" w:color="auto"/>
                <w:bottom w:val="none" w:sz="0" w:space="0" w:color="auto"/>
                <w:right w:val="none" w:sz="0" w:space="0" w:color="auto"/>
              </w:divBdr>
            </w:div>
          </w:divsChild>
        </w:div>
        <w:div w:id="1540819657">
          <w:marLeft w:val="0"/>
          <w:marRight w:val="0"/>
          <w:marTop w:val="0"/>
          <w:marBottom w:val="0"/>
          <w:divBdr>
            <w:top w:val="none" w:sz="0" w:space="0" w:color="auto"/>
            <w:left w:val="none" w:sz="0" w:space="0" w:color="auto"/>
            <w:bottom w:val="none" w:sz="0" w:space="0" w:color="auto"/>
            <w:right w:val="none" w:sz="0" w:space="0" w:color="auto"/>
          </w:divBdr>
          <w:divsChild>
            <w:div w:id="1211109680">
              <w:marLeft w:val="0"/>
              <w:marRight w:val="0"/>
              <w:marTop w:val="0"/>
              <w:marBottom w:val="0"/>
              <w:divBdr>
                <w:top w:val="none" w:sz="0" w:space="0" w:color="auto"/>
                <w:left w:val="none" w:sz="0" w:space="0" w:color="auto"/>
                <w:bottom w:val="none" w:sz="0" w:space="0" w:color="auto"/>
                <w:right w:val="none" w:sz="0" w:space="0" w:color="auto"/>
              </w:divBdr>
            </w:div>
          </w:divsChild>
        </w:div>
        <w:div w:id="1664770957">
          <w:marLeft w:val="0"/>
          <w:marRight w:val="0"/>
          <w:marTop w:val="0"/>
          <w:marBottom w:val="0"/>
          <w:divBdr>
            <w:top w:val="none" w:sz="0" w:space="0" w:color="auto"/>
            <w:left w:val="none" w:sz="0" w:space="0" w:color="auto"/>
            <w:bottom w:val="none" w:sz="0" w:space="0" w:color="auto"/>
            <w:right w:val="none" w:sz="0" w:space="0" w:color="auto"/>
          </w:divBdr>
          <w:divsChild>
            <w:div w:id="259795043">
              <w:marLeft w:val="0"/>
              <w:marRight w:val="0"/>
              <w:marTop w:val="0"/>
              <w:marBottom w:val="0"/>
              <w:divBdr>
                <w:top w:val="none" w:sz="0" w:space="0" w:color="auto"/>
                <w:left w:val="none" w:sz="0" w:space="0" w:color="auto"/>
                <w:bottom w:val="none" w:sz="0" w:space="0" w:color="auto"/>
                <w:right w:val="none" w:sz="0" w:space="0" w:color="auto"/>
              </w:divBdr>
            </w:div>
          </w:divsChild>
        </w:div>
        <w:div w:id="1674457325">
          <w:marLeft w:val="0"/>
          <w:marRight w:val="0"/>
          <w:marTop w:val="0"/>
          <w:marBottom w:val="0"/>
          <w:divBdr>
            <w:top w:val="none" w:sz="0" w:space="0" w:color="auto"/>
            <w:left w:val="none" w:sz="0" w:space="0" w:color="auto"/>
            <w:bottom w:val="none" w:sz="0" w:space="0" w:color="auto"/>
            <w:right w:val="none" w:sz="0" w:space="0" w:color="auto"/>
          </w:divBdr>
          <w:divsChild>
            <w:div w:id="1336807608">
              <w:marLeft w:val="0"/>
              <w:marRight w:val="0"/>
              <w:marTop w:val="0"/>
              <w:marBottom w:val="0"/>
              <w:divBdr>
                <w:top w:val="none" w:sz="0" w:space="0" w:color="auto"/>
                <w:left w:val="none" w:sz="0" w:space="0" w:color="auto"/>
                <w:bottom w:val="none" w:sz="0" w:space="0" w:color="auto"/>
                <w:right w:val="none" w:sz="0" w:space="0" w:color="auto"/>
              </w:divBdr>
            </w:div>
          </w:divsChild>
        </w:div>
        <w:div w:id="1699045746">
          <w:marLeft w:val="0"/>
          <w:marRight w:val="0"/>
          <w:marTop w:val="0"/>
          <w:marBottom w:val="0"/>
          <w:divBdr>
            <w:top w:val="none" w:sz="0" w:space="0" w:color="auto"/>
            <w:left w:val="none" w:sz="0" w:space="0" w:color="auto"/>
            <w:bottom w:val="none" w:sz="0" w:space="0" w:color="auto"/>
            <w:right w:val="none" w:sz="0" w:space="0" w:color="auto"/>
          </w:divBdr>
          <w:divsChild>
            <w:div w:id="1225873423">
              <w:marLeft w:val="0"/>
              <w:marRight w:val="0"/>
              <w:marTop w:val="0"/>
              <w:marBottom w:val="0"/>
              <w:divBdr>
                <w:top w:val="none" w:sz="0" w:space="0" w:color="auto"/>
                <w:left w:val="none" w:sz="0" w:space="0" w:color="auto"/>
                <w:bottom w:val="none" w:sz="0" w:space="0" w:color="auto"/>
                <w:right w:val="none" w:sz="0" w:space="0" w:color="auto"/>
              </w:divBdr>
            </w:div>
          </w:divsChild>
        </w:div>
        <w:div w:id="1705252027">
          <w:marLeft w:val="0"/>
          <w:marRight w:val="0"/>
          <w:marTop w:val="0"/>
          <w:marBottom w:val="0"/>
          <w:divBdr>
            <w:top w:val="none" w:sz="0" w:space="0" w:color="auto"/>
            <w:left w:val="none" w:sz="0" w:space="0" w:color="auto"/>
            <w:bottom w:val="none" w:sz="0" w:space="0" w:color="auto"/>
            <w:right w:val="none" w:sz="0" w:space="0" w:color="auto"/>
          </w:divBdr>
          <w:divsChild>
            <w:div w:id="1777825830">
              <w:marLeft w:val="0"/>
              <w:marRight w:val="0"/>
              <w:marTop w:val="0"/>
              <w:marBottom w:val="0"/>
              <w:divBdr>
                <w:top w:val="none" w:sz="0" w:space="0" w:color="auto"/>
                <w:left w:val="none" w:sz="0" w:space="0" w:color="auto"/>
                <w:bottom w:val="none" w:sz="0" w:space="0" w:color="auto"/>
                <w:right w:val="none" w:sz="0" w:space="0" w:color="auto"/>
              </w:divBdr>
            </w:div>
          </w:divsChild>
        </w:div>
        <w:div w:id="1756199514">
          <w:marLeft w:val="0"/>
          <w:marRight w:val="0"/>
          <w:marTop w:val="0"/>
          <w:marBottom w:val="0"/>
          <w:divBdr>
            <w:top w:val="none" w:sz="0" w:space="0" w:color="auto"/>
            <w:left w:val="none" w:sz="0" w:space="0" w:color="auto"/>
            <w:bottom w:val="none" w:sz="0" w:space="0" w:color="auto"/>
            <w:right w:val="none" w:sz="0" w:space="0" w:color="auto"/>
          </w:divBdr>
          <w:divsChild>
            <w:div w:id="1765300710">
              <w:marLeft w:val="0"/>
              <w:marRight w:val="0"/>
              <w:marTop w:val="0"/>
              <w:marBottom w:val="0"/>
              <w:divBdr>
                <w:top w:val="none" w:sz="0" w:space="0" w:color="auto"/>
                <w:left w:val="none" w:sz="0" w:space="0" w:color="auto"/>
                <w:bottom w:val="none" w:sz="0" w:space="0" w:color="auto"/>
                <w:right w:val="none" w:sz="0" w:space="0" w:color="auto"/>
              </w:divBdr>
            </w:div>
          </w:divsChild>
        </w:div>
        <w:div w:id="1823346969">
          <w:marLeft w:val="0"/>
          <w:marRight w:val="0"/>
          <w:marTop w:val="0"/>
          <w:marBottom w:val="0"/>
          <w:divBdr>
            <w:top w:val="none" w:sz="0" w:space="0" w:color="auto"/>
            <w:left w:val="none" w:sz="0" w:space="0" w:color="auto"/>
            <w:bottom w:val="none" w:sz="0" w:space="0" w:color="auto"/>
            <w:right w:val="none" w:sz="0" w:space="0" w:color="auto"/>
          </w:divBdr>
          <w:divsChild>
            <w:div w:id="209146708">
              <w:marLeft w:val="0"/>
              <w:marRight w:val="0"/>
              <w:marTop w:val="0"/>
              <w:marBottom w:val="0"/>
              <w:divBdr>
                <w:top w:val="none" w:sz="0" w:space="0" w:color="auto"/>
                <w:left w:val="none" w:sz="0" w:space="0" w:color="auto"/>
                <w:bottom w:val="none" w:sz="0" w:space="0" w:color="auto"/>
                <w:right w:val="none" w:sz="0" w:space="0" w:color="auto"/>
              </w:divBdr>
            </w:div>
          </w:divsChild>
        </w:div>
        <w:div w:id="1851331805">
          <w:marLeft w:val="0"/>
          <w:marRight w:val="0"/>
          <w:marTop w:val="0"/>
          <w:marBottom w:val="0"/>
          <w:divBdr>
            <w:top w:val="none" w:sz="0" w:space="0" w:color="auto"/>
            <w:left w:val="none" w:sz="0" w:space="0" w:color="auto"/>
            <w:bottom w:val="none" w:sz="0" w:space="0" w:color="auto"/>
            <w:right w:val="none" w:sz="0" w:space="0" w:color="auto"/>
          </w:divBdr>
          <w:divsChild>
            <w:div w:id="748700519">
              <w:marLeft w:val="0"/>
              <w:marRight w:val="0"/>
              <w:marTop w:val="0"/>
              <w:marBottom w:val="0"/>
              <w:divBdr>
                <w:top w:val="none" w:sz="0" w:space="0" w:color="auto"/>
                <w:left w:val="none" w:sz="0" w:space="0" w:color="auto"/>
                <w:bottom w:val="none" w:sz="0" w:space="0" w:color="auto"/>
                <w:right w:val="none" w:sz="0" w:space="0" w:color="auto"/>
              </w:divBdr>
            </w:div>
          </w:divsChild>
        </w:div>
        <w:div w:id="1876113547">
          <w:marLeft w:val="0"/>
          <w:marRight w:val="0"/>
          <w:marTop w:val="0"/>
          <w:marBottom w:val="0"/>
          <w:divBdr>
            <w:top w:val="none" w:sz="0" w:space="0" w:color="auto"/>
            <w:left w:val="none" w:sz="0" w:space="0" w:color="auto"/>
            <w:bottom w:val="none" w:sz="0" w:space="0" w:color="auto"/>
            <w:right w:val="none" w:sz="0" w:space="0" w:color="auto"/>
          </w:divBdr>
          <w:divsChild>
            <w:div w:id="1438673940">
              <w:marLeft w:val="0"/>
              <w:marRight w:val="0"/>
              <w:marTop w:val="0"/>
              <w:marBottom w:val="0"/>
              <w:divBdr>
                <w:top w:val="none" w:sz="0" w:space="0" w:color="auto"/>
                <w:left w:val="none" w:sz="0" w:space="0" w:color="auto"/>
                <w:bottom w:val="none" w:sz="0" w:space="0" w:color="auto"/>
                <w:right w:val="none" w:sz="0" w:space="0" w:color="auto"/>
              </w:divBdr>
            </w:div>
          </w:divsChild>
        </w:div>
        <w:div w:id="1886597389">
          <w:marLeft w:val="0"/>
          <w:marRight w:val="0"/>
          <w:marTop w:val="0"/>
          <w:marBottom w:val="0"/>
          <w:divBdr>
            <w:top w:val="none" w:sz="0" w:space="0" w:color="auto"/>
            <w:left w:val="none" w:sz="0" w:space="0" w:color="auto"/>
            <w:bottom w:val="none" w:sz="0" w:space="0" w:color="auto"/>
            <w:right w:val="none" w:sz="0" w:space="0" w:color="auto"/>
          </w:divBdr>
          <w:divsChild>
            <w:div w:id="1780374247">
              <w:marLeft w:val="0"/>
              <w:marRight w:val="0"/>
              <w:marTop w:val="0"/>
              <w:marBottom w:val="0"/>
              <w:divBdr>
                <w:top w:val="none" w:sz="0" w:space="0" w:color="auto"/>
                <w:left w:val="none" w:sz="0" w:space="0" w:color="auto"/>
                <w:bottom w:val="none" w:sz="0" w:space="0" w:color="auto"/>
                <w:right w:val="none" w:sz="0" w:space="0" w:color="auto"/>
              </w:divBdr>
            </w:div>
          </w:divsChild>
        </w:div>
        <w:div w:id="1963001838">
          <w:marLeft w:val="0"/>
          <w:marRight w:val="0"/>
          <w:marTop w:val="0"/>
          <w:marBottom w:val="0"/>
          <w:divBdr>
            <w:top w:val="none" w:sz="0" w:space="0" w:color="auto"/>
            <w:left w:val="none" w:sz="0" w:space="0" w:color="auto"/>
            <w:bottom w:val="none" w:sz="0" w:space="0" w:color="auto"/>
            <w:right w:val="none" w:sz="0" w:space="0" w:color="auto"/>
          </w:divBdr>
          <w:divsChild>
            <w:div w:id="1142966587">
              <w:marLeft w:val="0"/>
              <w:marRight w:val="0"/>
              <w:marTop w:val="0"/>
              <w:marBottom w:val="0"/>
              <w:divBdr>
                <w:top w:val="none" w:sz="0" w:space="0" w:color="auto"/>
                <w:left w:val="none" w:sz="0" w:space="0" w:color="auto"/>
                <w:bottom w:val="none" w:sz="0" w:space="0" w:color="auto"/>
                <w:right w:val="none" w:sz="0" w:space="0" w:color="auto"/>
              </w:divBdr>
            </w:div>
          </w:divsChild>
        </w:div>
        <w:div w:id="2069379157">
          <w:marLeft w:val="0"/>
          <w:marRight w:val="0"/>
          <w:marTop w:val="0"/>
          <w:marBottom w:val="0"/>
          <w:divBdr>
            <w:top w:val="none" w:sz="0" w:space="0" w:color="auto"/>
            <w:left w:val="none" w:sz="0" w:space="0" w:color="auto"/>
            <w:bottom w:val="none" w:sz="0" w:space="0" w:color="auto"/>
            <w:right w:val="none" w:sz="0" w:space="0" w:color="auto"/>
          </w:divBdr>
          <w:divsChild>
            <w:div w:id="320698083">
              <w:marLeft w:val="0"/>
              <w:marRight w:val="0"/>
              <w:marTop w:val="0"/>
              <w:marBottom w:val="0"/>
              <w:divBdr>
                <w:top w:val="none" w:sz="0" w:space="0" w:color="auto"/>
                <w:left w:val="none" w:sz="0" w:space="0" w:color="auto"/>
                <w:bottom w:val="none" w:sz="0" w:space="0" w:color="auto"/>
                <w:right w:val="none" w:sz="0" w:space="0" w:color="auto"/>
              </w:divBdr>
            </w:div>
          </w:divsChild>
        </w:div>
        <w:div w:id="2110813941">
          <w:marLeft w:val="0"/>
          <w:marRight w:val="0"/>
          <w:marTop w:val="0"/>
          <w:marBottom w:val="0"/>
          <w:divBdr>
            <w:top w:val="none" w:sz="0" w:space="0" w:color="auto"/>
            <w:left w:val="none" w:sz="0" w:space="0" w:color="auto"/>
            <w:bottom w:val="none" w:sz="0" w:space="0" w:color="auto"/>
            <w:right w:val="none" w:sz="0" w:space="0" w:color="auto"/>
          </w:divBdr>
          <w:divsChild>
            <w:div w:id="17519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9229">
      <w:bodyDiv w:val="1"/>
      <w:marLeft w:val="0"/>
      <w:marRight w:val="0"/>
      <w:marTop w:val="0"/>
      <w:marBottom w:val="0"/>
      <w:divBdr>
        <w:top w:val="none" w:sz="0" w:space="0" w:color="auto"/>
        <w:left w:val="none" w:sz="0" w:space="0" w:color="auto"/>
        <w:bottom w:val="none" w:sz="0" w:space="0" w:color="auto"/>
        <w:right w:val="none" w:sz="0" w:space="0" w:color="auto"/>
      </w:divBdr>
    </w:div>
    <w:div w:id="1927497567">
      <w:bodyDiv w:val="1"/>
      <w:marLeft w:val="0"/>
      <w:marRight w:val="0"/>
      <w:marTop w:val="0"/>
      <w:marBottom w:val="0"/>
      <w:divBdr>
        <w:top w:val="none" w:sz="0" w:space="0" w:color="auto"/>
        <w:left w:val="none" w:sz="0" w:space="0" w:color="auto"/>
        <w:bottom w:val="none" w:sz="0" w:space="0" w:color="auto"/>
        <w:right w:val="none" w:sz="0" w:space="0" w:color="auto"/>
      </w:divBdr>
    </w:div>
    <w:div w:id="2006131727">
      <w:bodyDiv w:val="1"/>
      <w:marLeft w:val="0"/>
      <w:marRight w:val="0"/>
      <w:marTop w:val="0"/>
      <w:marBottom w:val="0"/>
      <w:divBdr>
        <w:top w:val="none" w:sz="0" w:space="0" w:color="auto"/>
        <w:left w:val="none" w:sz="0" w:space="0" w:color="auto"/>
        <w:bottom w:val="none" w:sz="0" w:space="0" w:color="auto"/>
        <w:right w:val="none" w:sz="0" w:space="0" w:color="auto"/>
      </w:divBdr>
    </w:div>
    <w:div w:id="21435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CConPlan@mt.gov" TargetMode="External"/><Relationship Id="rId18" Type="http://schemas.openxmlformats.org/officeDocument/2006/relationships/hyperlink" Target="https://commerce.mt.gov/Consolidated-Plan/Documents" TargetMode="External"/><Relationship Id="rId26" Type="http://schemas.openxmlformats.org/officeDocument/2006/relationships/hyperlink" Target="https://housing.mt.gov/Community-Housing/CDBG-Housing" TargetMode="External"/><Relationship Id="rId21" Type="http://schemas.openxmlformats.org/officeDocument/2006/relationships/hyperlink" Target="mailto:DOCConPlan@mt.gov"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commerce.mt.gov/Consolidated-Plan" TargetMode="External"/><Relationship Id="rId17" Type="http://schemas.openxmlformats.org/officeDocument/2006/relationships/footer" Target="footer2.xml"/><Relationship Id="rId25" Type="http://schemas.openxmlformats.org/officeDocument/2006/relationships/hyperlink" Target="https://housing.mt.gov/Community-Housing/CDBG-Housing" TargetMode="External"/><Relationship Id="rId33" Type="http://schemas.openxmlformats.org/officeDocument/2006/relationships/hyperlink" Target="http://dphhs.mt.gov/Portals/85/hcsd/documents/ESGPolicyManual.pdf"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DOCConPlan@mt.gov" TargetMode="External"/><Relationship Id="rId29" Type="http://schemas.openxmlformats.org/officeDocument/2006/relationships/hyperlink" Target="https://comdev.mt.gov/Programs-and-Boards/Community-Development-Block-Grant-Program/Planning-Activi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ommerce.mt.gov/Consolidated-Plan" TargetMode="External"/><Relationship Id="rId32" Type="http://schemas.openxmlformats.org/officeDocument/2006/relationships/hyperlink" Target="http://dphhs.mt.gov/Portals/85/hcsd/documents/ESGPolicyManual.pdf"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commerce.mt.gov/Consolidated-Plan" TargetMode="External"/><Relationship Id="rId28" Type="http://schemas.openxmlformats.org/officeDocument/2006/relationships/hyperlink" Target="https://comdev.mt.gov/Programs-and-Boards/Community-Development-Block-Grant-Program/Economic-Development"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mmerce.mt.gov/Consolidated-Plan" TargetMode="External"/><Relationship Id="rId31" Type="http://schemas.openxmlformats.org/officeDocument/2006/relationships/hyperlink" Target="https://housing.mt.gov/Multifamily-Development/Housing-Trust-Fu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commerce.mt.gov/Consolidated-Plan" TargetMode="External"/><Relationship Id="rId27" Type="http://schemas.openxmlformats.org/officeDocument/2006/relationships/hyperlink" Target="https://comdev.mt.gov/Programs-and-Boards/Community-Development-Block-Grant-Program/Public-and-Community-Facilities" TargetMode="External"/><Relationship Id="rId30" Type="http://schemas.openxmlformats.org/officeDocument/2006/relationships/hyperlink" Target="https://housing.mt.gov/Multifamily-Development/HOME-Program"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7F5E95BE-7608-4F49-BC07-C26AB9F0C75F}">
    <t:Anchor>
      <t:Comment id="878299035"/>
    </t:Anchor>
    <t:History>
      <t:Event id="{D8BED850-CECC-4DC9-8014-5D97CD8386CE}" time="2023-06-14T13:25:41.217Z">
        <t:Attribution userId="S::cca244@mt.gov::450b5b0e-c8a8-4780-8030-0df984209a0e" userProvider="AD" userName="Cohen, Cheryl"/>
        <t:Anchor>
          <t:Comment id="878299035"/>
        </t:Anchor>
        <t:Create/>
      </t:Event>
      <t:Event id="{59BDFA27-357D-4B02-9FF7-5BD1AA69CDC2}" time="2023-06-14T13:25:41.217Z">
        <t:Attribution userId="S::cca244@mt.gov::450b5b0e-c8a8-4780-8030-0df984209a0e" userProvider="AD" userName="Cohen, Cheryl"/>
        <t:Anchor>
          <t:Comment id="878299035"/>
        </t:Anchor>
        <t:Assign userId="S::CCA520@mt.gov::167b12cf-d49b-4c69-a444-78f17f8dc828" userProvider="AD" userName="Goldich, Rosie"/>
      </t:Event>
      <t:Event id="{CFE2FDB1-EFD8-40D5-BDC9-A0BB192ED244}" time="2023-06-14T13:25:41.217Z">
        <t:Attribution userId="S::cca244@mt.gov::450b5b0e-c8a8-4780-8030-0df984209a0e" userProvider="AD" userName="Cohen, Cheryl"/>
        <t:Anchor>
          <t:Comment id="878299035"/>
        </t:Anchor>
        <t:SetTitle title="@Goldich, Rosie shouldn't this just again reference the June 29, 2023 advertisement of the public comment period that runs June 30 to July 31?"/>
      </t:Event>
      <t:Event id="{15555D40-C092-424D-A8FE-94173D148A30}" time="2023-06-15T20:54:26.176Z">
        <t:Attribution userId="S::cca520@mt.gov::167b12cf-d49b-4c69-a444-78f17f8dc828" userProvider="AD" userName="Goldich, Rosie"/>
        <t:Progress percentComplete="100"/>
      </t:Event>
    </t:History>
  </t:Task>
  <t:Task id="{41B02885-D986-47B0-88DD-FC506EA1863D}">
    <t:Anchor>
      <t:Comment id="1342131418"/>
    </t:Anchor>
    <t:History>
      <t:Event id="{6218F3EE-20EB-4B22-9CD3-EB62BDC719E8}" time="2023-06-14T13:32:39.542Z">
        <t:Attribution userId="S::cca244@mt.gov::450b5b0e-c8a8-4780-8030-0df984209a0e" userProvider="AD" userName="Cohen, Cheryl"/>
        <t:Anchor>
          <t:Comment id="1342131418"/>
        </t:Anchor>
        <t:Create/>
      </t:Event>
      <t:Event id="{9E50758A-57CF-4C51-A98B-2FBB35EE51D8}" time="2023-06-14T13:32:39.542Z">
        <t:Attribution userId="S::cca244@mt.gov::450b5b0e-c8a8-4780-8030-0df984209a0e" userProvider="AD" userName="Cohen, Cheryl"/>
        <t:Anchor>
          <t:Comment id="1342131418"/>
        </t:Anchor>
        <t:Assign userId="S::CCA520@mt.gov::167b12cf-d49b-4c69-a444-78f17f8dc828" userProvider="AD" userName="Goldich, Rosie"/>
      </t:Event>
      <t:Event id="{54793DE2-D1F1-4913-9A10-E80EE9A50201}" time="2023-06-14T13:32:39.542Z">
        <t:Attribution userId="S::cca244@mt.gov::450b5b0e-c8a8-4780-8030-0df984209a0e" userProvider="AD" userName="Cohen, Cheryl"/>
        <t:Anchor>
          <t:Comment id="1342131418"/>
        </t:Anchor>
        <t:SetTitle title="@Goldich, Rosie can you confirm with DPHHS? DPHHS isn't the lead org for MTCoC anymore, and I don't know that there actually is a &quot;Name of Plan&quot; titled &quot;State of Montana Continuum of Care.&quot; I think the CoC is currently working on strategic plan but …"/>
      </t:Event>
      <t:Event id="{DD6F6944-9288-4E9E-BD98-82FEB7C9C9E2}" time="2023-06-16T14:53:55.16Z">
        <t:Attribution userId="S::cca520@mt.gov::167b12cf-d49b-4c69-a444-78f17f8dc828" userProvider="AD" userName="Goldich, Rosie"/>
        <t:Progress percentComplete="100"/>
      </t:Event>
    </t:History>
  </t:Task>
  <t:Task id="{567C3D68-C1CB-408A-80F6-33FB478B0F62}">
    <t:Anchor>
      <t:Comment id="496458225"/>
    </t:Anchor>
    <t:History>
      <t:Event id="{0FAA9338-3035-4DC9-999E-345251EEA263}" time="2023-06-14T13:36:01.824Z">
        <t:Attribution userId="S::cca244@mt.gov::450b5b0e-c8a8-4780-8030-0df984209a0e" userProvider="AD" userName="Cohen, Cheryl"/>
        <t:Anchor>
          <t:Comment id="496458225"/>
        </t:Anchor>
        <t:Create/>
      </t:Event>
      <t:Event id="{907CE9AD-59CA-4060-8EBA-928FB5DCCE46}" time="2023-06-14T13:36:01.824Z">
        <t:Attribution userId="S::cca244@mt.gov::450b5b0e-c8a8-4780-8030-0df984209a0e" userProvider="AD" userName="Cohen, Cheryl"/>
        <t:Anchor>
          <t:Comment id="496458225"/>
        </t:Anchor>
        <t:Assign userId="S::CCA520@mt.gov::167b12cf-d49b-4c69-a444-78f17f8dc828" userProvider="AD" userName="Goldich, Rosie"/>
      </t:Event>
      <t:Event id="{5252F9B6-7423-40B3-B044-A9F7E39EC0F1}" time="2023-06-14T13:36:01.824Z">
        <t:Attribution userId="S::cca244@mt.gov::450b5b0e-c8a8-4780-8030-0df984209a0e" userProvider="AD" userName="Cohen, Cheryl"/>
        <t:Anchor>
          <t:Comment id="496458225"/>
        </t:Anchor>
        <t:SetTitle title="yellow highlight for any reason? @Goldich, Rosie"/>
      </t:Event>
      <t:Event id="{28575B23-BC94-4111-BC05-E79D68359F03}" time="2023-06-14T14:49:26.966Z">
        <t:Attribution userId="S::cca520@mt.gov::167b12cf-d49b-4c69-a444-78f17f8dc828" userProvider="AD" userName="Goldich, Rosie"/>
        <t:Progress percentComplete="100"/>
      </t:Event>
    </t:History>
  </t:Task>
  <t:Task id="{C7DFE8C6-07E2-47C1-8649-F22DB2BE369A}">
    <t:Anchor>
      <t:Comment id="1235879695"/>
    </t:Anchor>
    <t:History>
      <t:Event id="{5C20BD50-B503-4921-B7E4-E6C6F4A8C65C}" time="2023-06-14T13:29:01.825Z">
        <t:Attribution userId="S::cca244@mt.gov::450b5b0e-c8a8-4780-8030-0df984209a0e" userProvider="AD" userName="Cohen, Cheryl"/>
        <t:Anchor>
          <t:Comment id="1235879695"/>
        </t:Anchor>
        <t:Create/>
      </t:Event>
      <t:Event id="{717815B8-360C-4F36-9B20-AFC8D92693CC}" time="2023-06-14T13:29:01.825Z">
        <t:Attribution userId="S::cca244@mt.gov::450b5b0e-c8a8-4780-8030-0df984209a0e" userProvider="AD" userName="Cohen, Cheryl"/>
        <t:Anchor>
          <t:Comment id="1235879695"/>
        </t:Anchor>
        <t:Assign userId="S::CCA520@mt.gov::167b12cf-d49b-4c69-a444-78f17f8dc828" userProvider="AD" userName="Goldich, Rosie"/>
      </t:Event>
      <t:Event id="{5808528A-5AEB-4A43-8402-D509B2C50738}" time="2023-06-14T13:29:01.825Z">
        <t:Attribution userId="S::cca244@mt.gov::450b5b0e-c8a8-4780-8030-0df984209a0e" userProvider="AD" userName="Cohen, Cheryl"/>
        <t:Anchor>
          <t:Comment id="1235879695"/>
        </t:Anchor>
        <t:SetTitle title="@Goldich, Rosie can you edit so we don't have a single bulleted item - just move that IHIP paragraph under the intro sentence."/>
      </t:Event>
      <t:Event id="{5DDA7BE3-BDBD-46C1-9D03-044DC975D78D}" time="2023-06-14T14:32:46.205Z">
        <t:Attribution userId="S::cca520@mt.gov::167b12cf-d49b-4c69-a444-78f17f8dc828" userProvider="AD" userName="Goldich, Rosie"/>
        <t:Progress percentComplete="100"/>
      </t:Event>
    </t:History>
  </t:Task>
  <t:Task id="{E02301B5-19F1-4073-A94E-E2522309D3DF}">
    <t:Anchor>
      <t:Comment id="867051025"/>
    </t:Anchor>
    <t:History>
      <t:Event id="{A71C0220-44C0-42C5-8521-9CE116A796AE}" time="2023-06-14T13:30:17.21Z">
        <t:Attribution userId="S::cca244@mt.gov::450b5b0e-c8a8-4780-8030-0df984209a0e" userProvider="AD" userName="Cohen, Cheryl"/>
        <t:Anchor>
          <t:Comment id="2098300507"/>
        </t:Anchor>
        <t:Create/>
      </t:Event>
      <t:Event id="{E53D1AB3-DA9E-470A-81A0-CB4D63B3E8A9}" time="2023-06-14T13:30:17.21Z">
        <t:Attribution userId="S::cca244@mt.gov::450b5b0e-c8a8-4780-8030-0df984209a0e" userProvider="AD" userName="Cohen, Cheryl"/>
        <t:Anchor>
          <t:Comment id="2098300507"/>
        </t:Anchor>
        <t:Assign userId="S::CCA520@mt.gov::167b12cf-d49b-4c69-a444-78f17f8dc828" userProvider="AD" userName="Goldich, Rosie"/>
      </t:Event>
      <t:Event id="{C8E2D10E-213E-4C46-A382-0BF800886D7C}" time="2023-06-14T13:30:17.21Z">
        <t:Attribution userId="S::cca244@mt.gov::450b5b0e-c8a8-4780-8030-0df984209a0e" userProvider="AD" userName="Cohen, Cheryl"/>
        <t:Anchor>
          <t:Comment id="2098300507"/>
        </t:Anchor>
        <t:SetTitle title="@Goldich, Rosie yes, let's just delete"/>
      </t:Event>
    </t:History>
  </t:Task>
  <t:Task id="{C3C56FA1-5662-443A-9422-A4E5C0BE9420}">
    <t:Anchor>
      <t:Comment id="970484914"/>
    </t:Anchor>
    <t:History>
      <t:Event id="{0CB1ACDE-DB97-4E92-A70A-31D95D558865}" time="2023-06-14T13:33:28.31Z">
        <t:Attribution userId="S::cca244@mt.gov::450b5b0e-c8a8-4780-8030-0df984209a0e" userProvider="AD" userName="Cohen, Cheryl"/>
        <t:Anchor>
          <t:Comment id="970484914"/>
        </t:Anchor>
        <t:Create/>
      </t:Event>
      <t:Event id="{524B7307-8CA1-4ECA-B474-CE88088F4CCD}" time="2023-06-14T13:33:28.31Z">
        <t:Attribution userId="S::cca244@mt.gov::450b5b0e-c8a8-4780-8030-0df984209a0e" userProvider="AD" userName="Cohen, Cheryl"/>
        <t:Anchor>
          <t:Comment id="970484914"/>
        </t:Anchor>
        <t:Assign userId="S::CCA520@mt.gov::167b12cf-d49b-4c69-a444-78f17f8dc828" userProvider="AD" userName="Goldich, Rosie"/>
      </t:Event>
      <t:Event id="{E3124DD9-702F-4575-93F5-CC89D4CD0985}" time="2023-06-14T13:33:28.31Z">
        <t:Attribution userId="S::cca244@mt.gov::450b5b0e-c8a8-4780-8030-0df984209a0e" userProvider="AD" userName="Cohen, Cheryl"/>
        <t:Anchor>
          <t:Comment id="970484914"/>
        </t:Anchor>
        <t:SetTitle title="@Goldich, Rosie to add number after July 25 hearing"/>
      </t:Event>
    </t:History>
  </t:Task>
  <t:Task id="{C60FE229-6D02-4495-AFD1-81BD38E8527E}">
    <t:Anchor>
      <t:Comment id="581252837"/>
    </t:Anchor>
    <t:History>
      <t:Event id="{392A8E73-0C6D-4A24-B55E-03830BF341AA}" time="2023-06-14T13:35:22.346Z">
        <t:Attribution userId="S::cca244@mt.gov::450b5b0e-c8a8-4780-8030-0df984209a0e" userProvider="AD" userName="Cohen, Cheryl"/>
        <t:Anchor>
          <t:Comment id="581252837"/>
        </t:Anchor>
        <t:Create/>
      </t:Event>
      <t:Event id="{EB74CC40-1A3E-49B4-8E0A-1DBBEAC98188}" time="2023-06-14T13:35:22.346Z">
        <t:Attribution userId="S::cca244@mt.gov::450b5b0e-c8a8-4780-8030-0df984209a0e" userProvider="AD" userName="Cohen, Cheryl"/>
        <t:Anchor>
          <t:Comment id="581252837"/>
        </t:Anchor>
        <t:Assign userId="S::CCA520@mt.gov::167b12cf-d49b-4c69-a444-78f17f8dc828" userProvider="AD" userName="Goldich, Rosie"/>
      </t:Event>
      <t:Event id="{31D38C4A-7BB2-4CD9-9288-9A27CBF15AF1}" time="2023-06-14T13:35:22.346Z">
        <t:Attribution userId="S::cca244@mt.gov::450b5b0e-c8a8-4780-8030-0df984209a0e" userProvider="AD" userName="Cohen, Cheryl"/>
        <t:Anchor>
          <t:Comment id="581252837"/>
        </t:Anchor>
        <t:SetTitle title="Are these yellow highlights for any reason? And to confirm, no CDBG Program Income anticipated for Year 4? @Goldich, Rosie"/>
      </t:Event>
      <t:Event id="{63A9E404-8EC8-4BF8-AD63-F38B78DA8D62}" time="2023-06-14T14:49:24.616Z">
        <t:Attribution userId="S::cca520@mt.gov::167b12cf-d49b-4c69-a444-78f17f8dc828" userProvider="AD" userName="Goldich, Rosie"/>
        <t:Progress percentComplete="100"/>
      </t:Event>
    </t:History>
  </t:Task>
  <t:Task id="{E3DDDD37-41AD-44AF-89E3-85ABC66E95CA}">
    <t:Anchor>
      <t:Comment id="2058910540"/>
    </t:Anchor>
    <t:History>
      <t:Event id="{3BA13C79-79C0-433E-B9A8-8D5D64A7AB3D}" time="2023-06-14T13:39:14.067Z">
        <t:Attribution userId="S::cca244@mt.gov::450b5b0e-c8a8-4780-8030-0df984209a0e" userProvider="AD" userName="Cohen, Cheryl"/>
        <t:Anchor>
          <t:Comment id="2058910540"/>
        </t:Anchor>
        <t:Create/>
      </t:Event>
      <t:Event id="{4BC6EF59-ECAE-40B9-B15F-E5A237BE108A}" time="2023-06-14T13:39:14.067Z">
        <t:Attribution userId="S::cca244@mt.gov::450b5b0e-c8a8-4780-8030-0df984209a0e" userProvider="AD" userName="Cohen, Cheryl"/>
        <t:Anchor>
          <t:Comment id="2058910540"/>
        </t:Anchor>
        <t:Assign userId="S::CCA445@mt.gov::b82c8bd5-61cf-4a3a-b615-a6d8f108a1f3" userProvider="AD" userName="Stepleton, Jen"/>
      </t:Event>
      <t:Event id="{07889061-418A-436A-A373-483D161B7354}" time="2023-06-14T13:39:14.067Z">
        <t:Attribution userId="S::cca244@mt.gov::450b5b0e-c8a8-4780-8030-0df984209a0e" userProvider="AD" userName="Cohen, Cheryl"/>
        <t:Anchor>
          <t:Comment id="2058910540"/>
        </t:Anchor>
        <t:SetTitle title="@Stepleton, Jen do you know if this *50 is an estimate for shelter for HTF or CDBG activities? There is the asterisk but I see no footnote/clarifying note."/>
      </t:Event>
      <t:Event id="{56CA0754-3E92-4D22-92C3-F90AB1644DB7}" time="2023-06-15T22:58:25.956Z">
        <t:Attribution userId="S::cca445@mt.gov::b82c8bd5-61cf-4a3a-b615-a6d8f108a1f3" userProvider="AD" userName="Stepleton, Jen"/>
        <t:Progress percentComplete="100"/>
      </t:Event>
    </t:History>
  </t:Task>
  <t:Task id="{3BB6AA72-2259-4077-B610-D401E89BDDCC}">
    <t:Anchor>
      <t:Comment id="496352873"/>
    </t:Anchor>
    <t:History>
      <t:Event id="{AC3ED328-EAB3-4F82-B188-8A1D2E8C2B20}" time="2023-06-14T13:45:06.183Z">
        <t:Attribution userId="S::cca244@mt.gov::450b5b0e-c8a8-4780-8030-0df984209a0e" userProvider="AD" userName="Cohen, Cheryl"/>
        <t:Anchor>
          <t:Comment id="496352873"/>
        </t:Anchor>
        <t:Create/>
      </t:Event>
      <t:Event id="{DCE13D23-E459-4B2C-8631-599DF65FC7CE}" time="2023-06-14T13:45:06.183Z">
        <t:Attribution userId="S::cca244@mt.gov::450b5b0e-c8a8-4780-8030-0df984209a0e" userProvider="AD" userName="Cohen, Cheryl"/>
        <t:Anchor>
          <t:Comment id="496352873"/>
        </t:Anchor>
        <t:Assign userId="S::CCA445@mt.gov::b82c8bd5-61cf-4a3a-b615-a6d8f108a1f3" userProvider="AD" userName="Stepleton, Jen"/>
      </t:Event>
      <t:Event id="{393DEB26-EB7D-47C6-9472-DB83822942A1}" time="2023-06-14T13:45:06.183Z">
        <t:Attribution userId="S::cca244@mt.gov::450b5b0e-c8a8-4780-8030-0df984209a0e" userProvider="AD" userName="Cohen, Cheryl"/>
        <t:Anchor>
          <t:Comment id="496352873"/>
        </t:Anchor>
        <t:SetTitle title="…on page 40 indicates $500K but the HSP summary on page 39 indicates this is to preserve or create affordable housing? @Goldich, Rosie and @Stepleton, Jen should that $500K be added to the #1.25M preserve and construct affordable housing priority?"/>
      </t:Event>
      <t:Event id="{F65D78AF-7252-4EE2-A0B8-BCF409756D3A}" time="2023-06-16T15:03:05.37Z">
        <t:Attribution userId="S::cca520@mt.gov::167b12cf-d49b-4c69-a444-78f17f8dc828" userProvider="AD" userName="Goldich, Rosie"/>
        <t:Progress percentComplete="100"/>
      </t:Event>
    </t:History>
  </t:Task>
  <t:Task id="{CFCD4E28-88EA-4065-AE0B-8C77083C48B7}">
    <t:Anchor>
      <t:Comment id="1055849703"/>
    </t:Anchor>
    <t:History>
      <t:Event id="{9F58D0E5-2F0D-409B-AB54-4156D07A90E8}" time="2023-06-14T13:47:54.082Z">
        <t:Attribution userId="S::cca244@mt.gov::450b5b0e-c8a8-4780-8030-0df984209a0e" userProvider="AD" userName="Cohen, Cheryl"/>
        <t:Anchor>
          <t:Comment id="1055849703"/>
        </t:Anchor>
        <t:Create/>
      </t:Event>
      <t:Event id="{18D3FF32-561B-4D6B-AC14-0B19ABE042B9}" time="2023-06-14T13:47:54.082Z">
        <t:Attribution userId="S::cca244@mt.gov::450b5b0e-c8a8-4780-8030-0df984209a0e" userProvider="AD" userName="Cohen, Cheryl"/>
        <t:Anchor>
          <t:Comment id="1055849703"/>
        </t:Anchor>
        <t:Assign userId="S::CCA520@mt.gov::167b12cf-d49b-4c69-a444-78f17f8dc828" userProvider="AD" userName="Goldich, Rosie"/>
      </t:Event>
      <t:Event id="{39B81E28-45D9-4F2F-ABE4-9455B7691608}" time="2023-06-14T13:47:54.082Z">
        <t:Attribution userId="S::cca244@mt.gov::450b5b0e-c8a8-4780-8030-0df984209a0e" userProvider="AD" userName="Cohen, Cheryl"/>
        <t:Anchor>
          <t:Comment id="1055849703"/>
        </t:Anchor>
        <t:SetTitle title="…Methods&quot; section and since we aren't allocating any specific $ amount for Urgent Need we wouldn't list it here? @Goldich, Rosie I haven't had time to research HUD's guidance on how to incorporate Urgent Need in the AAP. Did you look at we did …"/>
      </t:Event>
      <t:Event id="{C267F930-2688-4AFA-BCE5-3B9DBD20E03B}" time="2023-06-15T23:04:22.894Z">
        <t:Attribution userId="S::cca520@mt.gov::167b12cf-d49b-4c69-a444-78f17f8dc828" userProvider="AD" userName="Goldich, Rosie"/>
        <t:Progress percentComplete="100"/>
      </t:Event>
    </t:History>
  </t:Task>
  <t:Task id="{F4D89ADC-D3B9-4625-8EFC-4D9AD7412662}">
    <t:Anchor>
      <t:Comment id="672766974"/>
    </t:Anchor>
    <t:History>
      <t:Event id="{DFA0E74D-06F0-4FAD-97B7-B5F4C7D95344}" time="2023-06-14T13:53:00.598Z">
        <t:Attribution userId="S::cca244@mt.gov::450b5b0e-c8a8-4780-8030-0df984209a0e" userProvider="AD" userName="Cohen, Cheryl"/>
        <t:Anchor>
          <t:Comment id="900886916"/>
        </t:Anchor>
        <t:Create/>
      </t:Event>
      <t:Event id="{7CCC0067-AB57-4458-B5C0-67AF071ABC7A}" time="2023-06-14T13:53:00.598Z">
        <t:Attribution userId="S::cca244@mt.gov::450b5b0e-c8a8-4780-8030-0df984209a0e" userProvider="AD" userName="Cohen, Cheryl"/>
        <t:Anchor>
          <t:Comment id="900886916"/>
        </t:Anchor>
        <t:Assign userId="S::CCA445@mt.gov::b82c8bd5-61cf-4a3a-b615-a6d8f108a1f3" userProvider="AD" userName="Stepleton, Jen"/>
      </t:Event>
      <t:Event id="{77600BD0-A959-407C-883C-346B47E9AD3F}" time="2023-06-14T13:53:00.598Z">
        <t:Attribution userId="S::cca244@mt.gov::450b5b0e-c8a8-4780-8030-0df984209a0e" userProvider="AD" userName="Cohen, Cheryl"/>
        <t:Anchor>
          <t:Comment id="900886916"/>
        </t:Anchor>
        <t:SetTitle title="@Stepleton, Jen have 2023 limits been released yet? I know they were already out for Vicki's programs."/>
      </t:Event>
      <t:Event id="{4A6CBBFD-8F7E-4027-B12F-0B02903F8E8C}" time="2023-06-16T15:03:37.187Z">
        <t:Attribution userId="S::cca520@mt.gov::167b12cf-d49b-4c69-a444-78f17f8dc828" userProvider="AD" userName="Goldich, Rosie"/>
        <t:Progress percentComplete="100"/>
      </t:Event>
    </t:History>
  </t:Task>
  <t:Task id="{595A400E-EC4A-43D0-BB8C-8049D8CAD529}">
    <t:Anchor>
      <t:Comment id="1883485387"/>
    </t:Anchor>
    <t:History>
      <t:Event id="{B5170EA7-6693-44E0-AA68-D040525D1A32}" time="2023-06-14T13:54:28.521Z">
        <t:Attribution userId="S::cca244@mt.gov::450b5b0e-c8a8-4780-8030-0df984209a0e" userProvider="AD" userName="Cohen, Cheryl"/>
        <t:Anchor>
          <t:Comment id="1883485387"/>
        </t:Anchor>
        <t:Create/>
      </t:Event>
      <t:Event id="{B2660110-4C7E-4DAA-8207-CDB9192B9D46}" time="2023-06-14T13:54:28.521Z">
        <t:Attribution userId="S::cca244@mt.gov::450b5b0e-c8a8-4780-8030-0df984209a0e" userProvider="AD" userName="Cohen, Cheryl"/>
        <t:Anchor>
          <t:Comment id="1883485387"/>
        </t:Anchor>
        <t:Assign userId="S::CCA445@mt.gov::b82c8bd5-61cf-4a3a-b615-a6d8f108a1f3" userProvider="AD" userName="Stepleton, Jen"/>
      </t:Event>
      <t:Event id="{C48C21E9-8A80-4A13-A181-C78D7DC6CB00}" time="2023-06-14T13:54:28.521Z">
        <t:Attribution userId="S::cca244@mt.gov::450b5b0e-c8a8-4780-8030-0df984209a0e" userProvider="AD" userName="Cohen, Cheryl"/>
        <t:Anchor>
          <t:Comment id="1883485387"/>
        </t:Anchor>
        <t:SetTitle title="See page 35 Table 7. @Stepleton, Jen should this $500K be added to the $1.25M for preserve and construct affordable housing?"/>
      </t:Event>
      <t:Event id="{1C75CF34-D6E6-4D8A-A2E0-1AC6E9234FCA}" time="2023-06-16T15:03:18.9Z">
        <t:Attribution userId="S::cca520@mt.gov::167b12cf-d49b-4c69-a444-78f17f8dc828" userProvider="AD" userName="Goldich, Rosie"/>
        <t:Progress percentComplete="100"/>
      </t:Event>
    </t:History>
  </t:Task>
  <t:Task id="{81D741A1-2333-4C01-8DD1-4177AC650D5F}">
    <t:Anchor>
      <t:Comment id="673381943"/>
    </t:Anchor>
    <t:History>
      <t:Event id="{EC609B5E-35FB-4A3C-AE6D-8A838E6F02F9}" time="2023-06-14T13:56:53.271Z">
        <t:Attribution userId="S::cca244@mt.gov::450b5b0e-c8a8-4780-8030-0df984209a0e" userProvider="AD" userName="Cohen, Cheryl"/>
        <t:Anchor>
          <t:Comment id="1587427427"/>
        </t:Anchor>
        <t:Create/>
      </t:Event>
      <t:Event id="{91F33E37-075F-45F7-B7DA-CAA7E10B7279}" time="2023-06-14T13:56:53.271Z">
        <t:Attribution userId="S::cca244@mt.gov::450b5b0e-c8a8-4780-8030-0df984209a0e" userProvider="AD" userName="Cohen, Cheryl"/>
        <t:Anchor>
          <t:Comment id="1587427427"/>
        </t:Anchor>
        <t:Assign userId="S::CC2218@mt.gov::c177e643-ac28-4903-84b2-dddd97b48ee3" userProvider="AD" userName="Anseth, Becky"/>
      </t:Event>
      <t:Event id="{12211FDA-F5C7-4131-8763-FFD00778BEF3}" time="2023-06-14T13:56:53.271Z">
        <t:Attribution userId="S::cca244@mt.gov::450b5b0e-c8a8-4780-8030-0df984209a0e" userProvider="AD" userName="Cohen, Cheryl"/>
        <t:Anchor>
          <t:Comment id="1587427427"/>
        </t:Anchor>
        <t:SetTitle title="…with PF/CF allocations in Year 4. Given we have HOME-ARP and the $5M shelter grant program, I would think we would have less interest in using CF for this so perhaps the 5 goal is appropriate? @Anseth, Becky please provide your best estimate here."/>
      </t:Event>
      <t:Event id="{506EB471-174B-4F9B-8319-A37EF08E6BE8}" time="2023-06-15T22:49:27.652Z">
        <t:Attribution userId="S::cca520@mt.gov::167b12cf-d49b-4c69-a444-78f17f8dc828" userProvider="AD" userName="Goldich, Rosie"/>
        <t:Progress percentComplete="100"/>
      </t:Event>
    </t:History>
  </t:Task>
  <t:Task id="{E96CB8EE-316D-4309-AA54-987636AD61E0}">
    <t:Anchor>
      <t:Comment id="1251615504"/>
    </t:Anchor>
    <t:History>
      <t:Event id="{A7D08426-84EB-4DDB-97F2-86217115B54E}" time="2023-06-14T13:59:16.859Z">
        <t:Attribution userId="S::cca244@mt.gov::450b5b0e-c8a8-4780-8030-0df984209a0e" userProvider="AD" userName="Cohen, Cheryl"/>
        <t:Anchor>
          <t:Comment id="1251615504"/>
        </t:Anchor>
        <t:Create/>
      </t:Event>
      <t:Event id="{E3F7692B-F419-4CAE-A98C-A38599391EB7}" time="2023-06-14T13:59:16.859Z">
        <t:Attribution userId="S::cca244@mt.gov::450b5b0e-c8a8-4780-8030-0df984209a0e" userProvider="AD" userName="Cohen, Cheryl"/>
        <t:Anchor>
          <t:Comment id="1251615504"/>
        </t:Anchor>
        <t:Assign userId="S::CCA305@mt.gov::6162d0f5-c499-4d94-9093-397512a86c53" userProvider="AD" userName="Ferguson, Cody"/>
      </t:Event>
      <t:Event id="{44433F99-67F6-42FB-B6C1-E18212C31D48}" time="2023-06-14T13:59:16.859Z">
        <t:Attribution userId="S::cca244@mt.gov::450b5b0e-c8a8-4780-8030-0df984209a0e" userProvider="AD" userName="Cohen, Cheryl"/>
        <t:Anchor>
          <t:Comment id="1251615504"/>
        </t:Anchor>
        <t:SetTitle title="@Ferguson, Cody are we still giving preference on planning grants for COVID or should this bit be deleted?"/>
      </t:Event>
      <t:Event id="{00F3A766-D52A-4D25-999F-3F9361DCCF52}" time="2023-06-15T22:52:53.594Z">
        <t:Attribution userId="S::cca305@mt.gov::6162d0f5-c499-4d94-9093-397512a86c53" userProvider="AD" userName="Ferguson, Cody"/>
        <t:Progress percentComplete="100"/>
      </t:Event>
    </t:History>
  </t:Task>
  <t:Task id="{4CD82482-41AB-453B-99EE-EF7A04CD49FC}">
    <t:Anchor>
      <t:Comment id="418369591"/>
    </t:Anchor>
    <t:History>
      <t:Event id="{F2A50D7C-51A6-4E68-A1EA-DE304C799177}" time="2023-06-14T14:01:24.095Z">
        <t:Attribution userId="S::cca244@mt.gov::450b5b0e-c8a8-4780-8030-0df984209a0e" userProvider="AD" userName="Cohen, Cheryl"/>
        <t:Anchor>
          <t:Comment id="418369591"/>
        </t:Anchor>
        <t:Create/>
      </t:Event>
      <t:Event id="{912120A9-3A40-4BF3-ACC2-2FC0065F2BA9}" time="2023-06-14T14:01:24.095Z">
        <t:Attribution userId="S::cca244@mt.gov::450b5b0e-c8a8-4780-8030-0df984209a0e" userProvider="AD" userName="Cohen, Cheryl"/>
        <t:Anchor>
          <t:Comment id="418369591"/>
        </t:Anchor>
        <t:Assign userId="S::CCA445@mt.gov::b82c8bd5-61cf-4a3a-b615-a6d8f108a1f3" userProvider="AD" userName="Stepleton, Jen"/>
      </t:Event>
      <t:Event id="{3BF4569E-AA1B-4E69-95FB-8259A1110B5A}" time="2023-06-14T14:01:24.095Z">
        <t:Attribution userId="S::cca244@mt.gov::450b5b0e-c8a8-4780-8030-0df984209a0e" userProvider="AD" userName="Cohen, Cheryl"/>
        <t:Anchor>
          <t:Comment id="418369591"/>
        </t:Anchor>
        <t:SetTitle title="@Stepleton, Jen we're showing $0 HOME Program Income Table 5 Expected Resources. I'm thinking we need to align and include that $500K in Table 5 on page 29. Does that make sense to you?"/>
      </t:Event>
      <t:Event id="{10493143-E1EB-489A-9A44-3D0CE5B48030}" time="2023-06-16T15:03:32.782Z">
        <t:Attribution userId="S::cca520@mt.gov::167b12cf-d49b-4c69-a444-78f17f8dc828" userProvider="AD" userName="Goldich, Rosie"/>
        <t:Progress percentComplete="100"/>
      </t:Event>
    </t:History>
  </t:Task>
  <t:Task id="{5057B893-12B9-4517-9DB3-0E4E1D12D229}">
    <t:Anchor>
      <t:Comment id="1647020111"/>
    </t:Anchor>
    <t:History>
      <t:Event id="{CF886F49-E93D-4E02-8EF6-48EC69DA2ED1}" time="2023-06-14T14:18:41.941Z">
        <t:Attribution userId="S::cca244@mt.gov::450b5b0e-c8a8-4780-8030-0df984209a0e" userProvider="AD" userName="Cohen, Cheryl"/>
        <t:Anchor>
          <t:Comment id="1647020111"/>
        </t:Anchor>
        <t:Create/>
      </t:Event>
      <t:Event id="{83F296E8-9C62-4201-9B17-7ECE4E5E31FA}" time="2023-06-14T14:18:41.941Z">
        <t:Attribution userId="S::cca244@mt.gov::450b5b0e-c8a8-4780-8030-0df984209a0e" userProvider="AD" userName="Cohen, Cheryl"/>
        <t:Anchor>
          <t:Comment id="1647020111"/>
        </t:Anchor>
        <t:Assign userId="S::CCA305@mt.gov::6162d0f5-c499-4d94-9093-397512a86c53" userProvider="AD" userName="Ferguson, Cody"/>
      </t:Event>
      <t:Event id="{6906BBD9-5D78-41A1-8D7D-47D2434A1BCB}" time="2023-06-14T14:18:41.941Z">
        <t:Attribution userId="S::cca244@mt.gov::450b5b0e-c8a8-4780-8030-0df984209a0e" userProvider="AD" userName="Cohen, Cheryl"/>
        <t:Anchor>
          <t:Comment id="1647020111"/>
        </t:Anchor>
        <t:SetTitle title="@Ferguson, Cody great add on the lead in drinking water actions!"/>
      </t:Event>
      <t:Event id="{0EF3F2F2-3AC0-431B-B557-73E681EE4144}" time="2023-06-15T22:52:16.134Z">
        <t:Attribution userId="S::cca305@mt.gov::6162d0f5-c499-4d94-9093-397512a86c53" userProvider="AD" userName="Ferguson, Cod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42E1A6BDD96841ADB89821394334B3" ma:contentTypeVersion="6" ma:contentTypeDescription="Create a new document." ma:contentTypeScope="" ma:versionID="e7b777c95afa266470274af06bb3bec2">
  <xsd:schema xmlns:xsd="http://www.w3.org/2001/XMLSchema" xmlns:xs="http://www.w3.org/2001/XMLSchema" xmlns:p="http://schemas.microsoft.com/office/2006/metadata/properties" xmlns:ns2="aa3c216e-acdb-49d9-88a0-ce12d9dee774" xmlns:ns3="bd75b16f-d4e5-42c4-bcc2-47739eda0f92" targetNamespace="http://schemas.microsoft.com/office/2006/metadata/properties" ma:root="true" ma:fieldsID="52bc2a4a164010f4db8d287589cc8120" ns2:_="" ns3:_="">
    <xsd:import namespace="aa3c216e-acdb-49d9-88a0-ce12d9dee774"/>
    <xsd:import namespace="bd75b16f-d4e5-42c4-bcc2-47739eda0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c216e-acdb-49d9-88a0-ce12d9dee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75b16f-d4e5-42c4-bcc2-47739eda0f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0164FC-B5C8-47DB-8B3A-40A5239A39F0}">
  <ds:schemaRefs>
    <ds:schemaRef ds:uri="http://schemas.microsoft.com/sharepoint/v3/contenttype/forms"/>
  </ds:schemaRefs>
</ds:datastoreItem>
</file>

<file path=customXml/itemProps2.xml><?xml version="1.0" encoding="utf-8"?>
<ds:datastoreItem xmlns:ds="http://schemas.openxmlformats.org/officeDocument/2006/customXml" ds:itemID="{68B21FE5-B87B-46D8-A093-6B3149431B66}">
  <ds:schemaRefs>
    <ds:schemaRef ds:uri="http://schemas.openxmlformats.org/officeDocument/2006/bibliography"/>
  </ds:schemaRefs>
</ds:datastoreItem>
</file>

<file path=customXml/itemProps3.xml><?xml version="1.0" encoding="utf-8"?>
<ds:datastoreItem xmlns:ds="http://schemas.openxmlformats.org/officeDocument/2006/customXml" ds:itemID="{FAD1179E-686D-411A-995F-C238CC5E18A9}">
  <ds:schemaRef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bd75b16f-d4e5-42c4-bcc2-47739eda0f92"/>
    <ds:schemaRef ds:uri="http://purl.org/dc/terms/"/>
    <ds:schemaRef ds:uri="http://schemas.microsoft.com/office/2006/metadata/properties"/>
    <ds:schemaRef ds:uri="http://schemas.openxmlformats.org/package/2006/metadata/core-properties"/>
    <ds:schemaRef ds:uri="aa3c216e-acdb-49d9-88a0-ce12d9dee774"/>
  </ds:schemaRefs>
</ds:datastoreItem>
</file>

<file path=customXml/itemProps4.xml><?xml version="1.0" encoding="utf-8"?>
<ds:datastoreItem xmlns:ds="http://schemas.openxmlformats.org/officeDocument/2006/customXml" ds:itemID="{8AB41F2B-6EF5-4EB0-9AD2-9387703B7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c216e-acdb-49d9-88a0-ce12d9dee774"/>
    <ds:schemaRef ds:uri="bd75b16f-d4e5-42c4-bcc2-47739eda0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77</Pages>
  <Words>31285</Words>
  <Characters>178327</Characters>
  <Application>Microsoft Office Word</Application>
  <DocSecurity>0</DocSecurity>
  <Lines>1486</Lines>
  <Paragraphs>418</Paragraphs>
  <ScaleCrop>false</ScaleCrop>
  <HeadingPairs>
    <vt:vector size="2" baseType="variant">
      <vt:variant>
        <vt:lpstr>Title</vt:lpstr>
      </vt:variant>
      <vt:variant>
        <vt:i4>1</vt:i4>
      </vt:variant>
    </vt:vector>
  </HeadingPairs>
  <TitlesOfParts>
    <vt:vector size="1" baseType="lpstr">
      <vt:lpstr>2021-2022 Annual Action Plan (AAP)</vt:lpstr>
    </vt:vector>
  </TitlesOfParts>
  <Company>Montana Department of Commerce</Company>
  <LinksUpToDate>false</LinksUpToDate>
  <CharactersWithSpaces>209194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Annual Action Plan (AAP)</dc:title>
  <dc:subject>Annual Action Plan, 2020-2024 Consolidated Plan</dc:subject>
  <dc:creator>Community Development Division - Consolidated Plan</dc:creator>
  <cp:keywords>2021-2022, annual action plan, consolidated plan, montana, mt,</cp:keywords>
  <dc:description/>
  <cp:lastModifiedBy>Goldich, Rosie</cp:lastModifiedBy>
  <cp:revision>2</cp:revision>
  <cp:lastPrinted>2024-03-21T17:14:00Z</cp:lastPrinted>
  <dcterms:created xsi:type="dcterms:W3CDTF">2024-08-14T23:34:00Z</dcterms:created>
  <dcterms:modified xsi:type="dcterms:W3CDTF">2024-08-14T23:34:00Z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0x0101000242E1A6BDD96841ADB89821394334B3</vt:lpwstr>
  </property>
</Properties>
</file>